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A2B20" w14:textId="0782946F" w:rsidR="00A7372D" w:rsidRPr="00076039" w:rsidRDefault="00030231" w:rsidP="003971E7">
      <w:pPr>
        <w:tabs>
          <w:tab w:val="left" w:pos="6660"/>
        </w:tabs>
        <w:spacing w:after="0" w:line="360" w:lineRule="auto"/>
        <w:jc w:val="center"/>
        <w:rPr>
          <w:rFonts w:ascii="Times New Roman" w:hAnsi="Times New Roman" w:cs="Times New Roman"/>
          <w:b/>
          <w:sz w:val="28"/>
          <w:szCs w:val="28"/>
        </w:rPr>
      </w:pPr>
      <w:bookmarkStart w:id="0" w:name="_Hlk171819382"/>
      <w:r w:rsidRPr="00076039">
        <w:rPr>
          <w:rFonts w:ascii="Times New Roman" w:hAnsi="Times New Roman" w:cs="Times New Roman"/>
          <w:b/>
          <w:sz w:val="28"/>
          <w:szCs w:val="28"/>
        </w:rPr>
        <w:t>Predictive Validity of Institutional Assessments for National and Recruitment</w:t>
      </w:r>
    </w:p>
    <w:p w14:paraId="2725F17C" w14:textId="54C5F978" w:rsidR="00030231" w:rsidRPr="00076039" w:rsidRDefault="00983D51" w:rsidP="00A7372D">
      <w:pPr>
        <w:spacing w:after="0" w:line="360" w:lineRule="auto"/>
        <w:jc w:val="center"/>
        <w:rPr>
          <w:rFonts w:ascii="Times New Roman" w:hAnsi="Times New Roman" w:cs="Times New Roman"/>
          <w:b/>
          <w:sz w:val="28"/>
          <w:szCs w:val="28"/>
        </w:rPr>
      </w:pPr>
      <w:r w:rsidRPr="00076039">
        <w:rPr>
          <w:rFonts w:ascii="Times New Roman" w:hAnsi="Times New Roman" w:cs="Times New Roman"/>
          <w:b/>
          <w:sz w:val="28"/>
          <w:szCs w:val="28"/>
        </w:rPr>
        <w:t>Assessment of</w:t>
      </w:r>
      <w:r w:rsidR="005F0838" w:rsidRPr="00076039">
        <w:rPr>
          <w:rFonts w:ascii="Times New Roman" w:hAnsi="Times New Roman" w:cs="Times New Roman"/>
          <w:b/>
          <w:sz w:val="28"/>
          <w:szCs w:val="28"/>
        </w:rPr>
        <w:t xml:space="preserve"> </w:t>
      </w:r>
      <w:r w:rsidR="00F17545" w:rsidRPr="00076039">
        <w:rPr>
          <w:rFonts w:ascii="Times New Roman" w:hAnsi="Times New Roman" w:cs="Times New Roman"/>
          <w:b/>
          <w:sz w:val="28"/>
          <w:szCs w:val="28"/>
        </w:rPr>
        <w:t xml:space="preserve">TVET </w:t>
      </w:r>
      <w:r w:rsidR="005F0838" w:rsidRPr="00076039">
        <w:rPr>
          <w:rFonts w:ascii="Times New Roman" w:hAnsi="Times New Roman" w:cs="Times New Roman"/>
          <w:b/>
          <w:sz w:val="28"/>
          <w:szCs w:val="28"/>
        </w:rPr>
        <w:t xml:space="preserve">College </w:t>
      </w:r>
      <w:r w:rsidR="00030231" w:rsidRPr="00076039">
        <w:rPr>
          <w:rFonts w:ascii="Times New Roman" w:hAnsi="Times New Roman" w:cs="Times New Roman"/>
          <w:b/>
          <w:sz w:val="28"/>
          <w:szCs w:val="28"/>
        </w:rPr>
        <w:t xml:space="preserve">Students in </w:t>
      </w:r>
      <w:r w:rsidR="0004457C" w:rsidRPr="00076039">
        <w:rPr>
          <w:rFonts w:ascii="Times New Roman" w:hAnsi="Times New Roman" w:cs="Times New Roman"/>
          <w:b/>
          <w:sz w:val="28"/>
          <w:szCs w:val="28"/>
        </w:rPr>
        <w:t xml:space="preserve">South Gondar Zone </w:t>
      </w:r>
    </w:p>
    <w:bookmarkEnd w:id="0"/>
    <w:p w14:paraId="7D8F6CDA" w14:textId="5CE9BACD" w:rsidR="007820EB" w:rsidRPr="002944E9" w:rsidRDefault="007820EB" w:rsidP="007820EB">
      <w:pPr>
        <w:spacing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Abuhay</w:t>
      </w:r>
      <w:proofErr w:type="spellEnd"/>
      <w:r>
        <w:rPr>
          <w:rFonts w:ascii="Times New Roman" w:hAnsi="Times New Roman" w:cs="Times New Roman"/>
          <w:sz w:val="24"/>
          <w:szCs w:val="24"/>
        </w:rPr>
        <w:t xml:space="preserve"> Mihret Asres,</w:t>
      </w:r>
      <w:r w:rsidRPr="007820EB">
        <w:rPr>
          <w:rFonts w:ascii="Times New Roman" w:hAnsi="Times New Roman" w:cs="Times New Roman"/>
          <w:sz w:val="24"/>
          <w:szCs w:val="24"/>
        </w:rPr>
        <w:t xml:space="preserve"> </w:t>
      </w:r>
      <w:r w:rsidRPr="002944E9">
        <w:rPr>
          <w:rFonts w:ascii="Times New Roman" w:hAnsi="Times New Roman" w:cs="Times New Roman"/>
          <w:sz w:val="24"/>
          <w:szCs w:val="24"/>
        </w:rPr>
        <w:t xml:space="preserve">Amare </w:t>
      </w:r>
      <w:proofErr w:type="spellStart"/>
      <w:r w:rsidRPr="002944E9">
        <w:rPr>
          <w:rFonts w:ascii="Times New Roman" w:hAnsi="Times New Roman" w:cs="Times New Roman"/>
          <w:sz w:val="24"/>
          <w:szCs w:val="24"/>
        </w:rPr>
        <w:t>Sahile</w:t>
      </w:r>
      <w:proofErr w:type="spellEnd"/>
      <w:r w:rsidRPr="002944E9">
        <w:rPr>
          <w:rFonts w:ascii="Times New Roman" w:hAnsi="Times New Roman" w:cs="Times New Roman"/>
          <w:sz w:val="24"/>
          <w:szCs w:val="24"/>
        </w:rPr>
        <w:t xml:space="preserve"> Abebe</w:t>
      </w:r>
      <w:r w:rsidRPr="007820EB">
        <w:rPr>
          <w:rFonts w:ascii="Times New Roman" w:hAnsi="Times New Roman" w:cs="Times New Roman"/>
          <w:sz w:val="24"/>
          <w:szCs w:val="24"/>
          <w:vertAlign w:val="superscript"/>
        </w:rPr>
        <w:t>*</w:t>
      </w:r>
    </w:p>
    <w:p w14:paraId="024FD50B" w14:textId="6766D580" w:rsidR="007820EB" w:rsidRPr="002944E9" w:rsidRDefault="007820EB" w:rsidP="007820EB">
      <w:pPr>
        <w:spacing w:after="0" w:line="276" w:lineRule="auto"/>
        <w:jc w:val="both"/>
        <w:rPr>
          <w:rFonts w:ascii="Times New Roman" w:hAnsi="Times New Roman" w:cs="Times New Roman"/>
          <w:sz w:val="24"/>
          <w:szCs w:val="24"/>
        </w:rPr>
      </w:pPr>
      <w:r w:rsidRPr="002944E9">
        <w:rPr>
          <w:rFonts w:ascii="Times New Roman" w:hAnsi="Times New Roman" w:cs="Times New Roman"/>
          <w:sz w:val="24"/>
          <w:szCs w:val="24"/>
        </w:rPr>
        <w:t>Department of Psychology, College of Education and School of Educational Sciences</w:t>
      </w:r>
    </w:p>
    <w:p w14:paraId="4167854E" w14:textId="77777777" w:rsidR="007820EB" w:rsidRDefault="007820EB" w:rsidP="00BD79DD">
      <w:pPr>
        <w:spacing w:line="276" w:lineRule="auto"/>
        <w:jc w:val="both"/>
        <w:rPr>
          <w:rFonts w:ascii="Times New Roman" w:hAnsi="Times New Roman" w:cs="Times New Roman"/>
          <w:sz w:val="24"/>
          <w:szCs w:val="24"/>
        </w:rPr>
      </w:pPr>
      <w:r w:rsidRPr="002944E9">
        <w:rPr>
          <w:rFonts w:ascii="Times New Roman" w:hAnsi="Times New Roman" w:cs="Times New Roman"/>
          <w:sz w:val="24"/>
          <w:szCs w:val="24"/>
        </w:rPr>
        <w:t xml:space="preserve">Bahir Dar University, </w:t>
      </w:r>
      <w:r>
        <w:rPr>
          <w:rFonts w:ascii="Times New Roman" w:hAnsi="Times New Roman" w:cs="Times New Roman"/>
          <w:sz w:val="24"/>
          <w:szCs w:val="24"/>
        </w:rPr>
        <w:t xml:space="preserve">Bahir Dar, </w:t>
      </w:r>
      <w:r w:rsidRPr="002944E9">
        <w:rPr>
          <w:rFonts w:ascii="Times New Roman" w:hAnsi="Times New Roman" w:cs="Times New Roman"/>
          <w:sz w:val="24"/>
          <w:szCs w:val="24"/>
        </w:rPr>
        <w:t>Ethiopia</w:t>
      </w:r>
    </w:p>
    <w:p w14:paraId="541D27DF" w14:textId="3B71D3FC" w:rsidR="007820EB" w:rsidRPr="007820EB" w:rsidRDefault="007820EB" w:rsidP="007820EB">
      <w:pPr>
        <w:spacing w:line="276" w:lineRule="auto"/>
        <w:jc w:val="both"/>
        <w:rPr>
          <w:rFonts w:ascii="Times New Roman" w:hAnsi="Times New Roman" w:cs="Times New Roman"/>
          <w:sz w:val="24"/>
          <w:szCs w:val="24"/>
        </w:rPr>
      </w:pPr>
      <w:r w:rsidRPr="002944E9">
        <w:rPr>
          <w:rFonts w:ascii="Times New Roman" w:hAnsi="Times New Roman" w:cs="Times New Roman"/>
          <w:sz w:val="24"/>
          <w:szCs w:val="24"/>
        </w:rPr>
        <w:t xml:space="preserve"> </w:t>
      </w:r>
      <w:r w:rsidRPr="007820EB">
        <w:rPr>
          <w:rFonts w:ascii="Times New Roman" w:hAnsi="Times New Roman" w:cs="Times New Roman"/>
          <w:sz w:val="24"/>
          <w:szCs w:val="24"/>
          <w:vertAlign w:val="superscript"/>
        </w:rPr>
        <w:t>*</w:t>
      </w:r>
      <w:r>
        <w:rPr>
          <w:rFonts w:ascii="Times New Roman" w:hAnsi="Times New Roman" w:cs="Times New Roman"/>
          <w:sz w:val="24"/>
          <w:szCs w:val="24"/>
        </w:rPr>
        <w:t>Corresponding author e</w:t>
      </w:r>
      <w:r w:rsidRPr="002944E9">
        <w:rPr>
          <w:rFonts w:ascii="Times New Roman" w:hAnsi="Times New Roman" w:cs="Times New Roman"/>
          <w:sz w:val="24"/>
          <w:szCs w:val="24"/>
        </w:rPr>
        <w:t xml:space="preserve">mail: </w:t>
      </w:r>
      <w:hyperlink r:id="rId8" w:history="1">
        <w:r w:rsidRPr="007820EB">
          <w:rPr>
            <w:rStyle w:val="Hyperlink"/>
            <w:rFonts w:ascii="Times New Roman" w:hAnsi="Times New Roman" w:cs="Times New Roman"/>
            <w:sz w:val="24"/>
            <w:szCs w:val="24"/>
            <w:u w:val="none"/>
          </w:rPr>
          <w:t>amareabebe97@gmail.com</w:t>
        </w:r>
      </w:hyperlink>
    </w:p>
    <w:p w14:paraId="175ECD94" w14:textId="065E13AD" w:rsidR="007F5960" w:rsidRPr="005F0838" w:rsidRDefault="00AA04B5" w:rsidP="003F71C9">
      <w:pPr>
        <w:spacing w:after="0" w:line="360" w:lineRule="auto"/>
        <w:rPr>
          <w:rFonts w:ascii="Times New Roman" w:hAnsi="Times New Roman" w:cs="Times New Roman"/>
          <w:b/>
          <w:sz w:val="24"/>
          <w:szCs w:val="24"/>
        </w:rPr>
      </w:pPr>
      <w:r w:rsidRPr="005F0838">
        <w:rPr>
          <w:rFonts w:ascii="Times New Roman" w:hAnsi="Times New Roman" w:cs="Times New Roman"/>
          <w:b/>
          <w:sz w:val="24"/>
          <w:szCs w:val="24"/>
        </w:rPr>
        <w:t>Abstract</w:t>
      </w:r>
    </w:p>
    <w:p w14:paraId="33F49A4A" w14:textId="77777777" w:rsidR="00CB7F45" w:rsidRPr="00BD79DD" w:rsidRDefault="005E635F" w:rsidP="007820EB">
      <w:pPr>
        <w:pStyle w:val="NormalWeb"/>
        <w:spacing w:before="0" w:beforeAutospacing="0" w:after="0" w:afterAutospacing="0" w:line="276" w:lineRule="auto"/>
        <w:jc w:val="both"/>
        <w:rPr>
          <w:rFonts w:eastAsia="Times New Roman"/>
          <w:i/>
        </w:rPr>
      </w:pPr>
      <w:r w:rsidRPr="00BD79DD">
        <w:rPr>
          <w:i/>
          <w:iCs/>
        </w:rPr>
        <w:t>This study aimed to explore the predictive validity of Institutional Occupational Competency Assessment (IOCA) on National Occupational Competency Assessment (NOCA) and Recruitment Occupational Competency Assessment (ROCA), as well as the validity of National Occupational Competency Assessment (NOCA) on Recruitment Occupational Competency Assessment (ROCA) within the context of CBA in private TVET colleges in South Gonder Zone, Ethiopia.</w:t>
      </w:r>
      <w:r w:rsidR="007352EC" w:rsidRPr="00BD79DD">
        <w:rPr>
          <w:rFonts w:eastAsia="Times New Roman"/>
          <w:i/>
        </w:rPr>
        <w:t xml:space="preserve"> A</w:t>
      </w:r>
      <w:r w:rsidRPr="00BD79DD">
        <w:rPr>
          <w:i/>
          <w:iCs/>
        </w:rPr>
        <w:t xml:space="preserve"> mixed </w:t>
      </w:r>
      <w:r w:rsidR="007352EC" w:rsidRPr="00BD79DD">
        <w:rPr>
          <w:i/>
          <w:iCs/>
        </w:rPr>
        <w:t>research approach used</w:t>
      </w:r>
      <w:r w:rsidRPr="00BD79DD">
        <w:rPr>
          <w:i/>
          <w:iCs/>
        </w:rPr>
        <w:t xml:space="preserve"> </w:t>
      </w:r>
      <w:r w:rsidR="007352EC" w:rsidRPr="00BD79DD">
        <w:rPr>
          <w:i/>
          <w:iCs/>
        </w:rPr>
        <w:t>to examine</w:t>
      </w:r>
      <w:r w:rsidRPr="00BD79DD">
        <w:rPr>
          <w:i/>
          <w:iCs/>
        </w:rPr>
        <w:t xml:space="preserve"> the predictive validity and relationships among the three assessments of students' scores in private TVET colleges. </w:t>
      </w:r>
      <w:r w:rsidR="007352EC" w:rsidRPr="00BD79DD">
        <w:rPr>
          <w:rFonts w:eastAsia="Times New Roman"/>
          <w:i/>
        </w:rPr>
        <w:t xml:space="preserve">873 level-four students selected from seven private TVET colleges and nine departments </w:t>
      </w:r>
      <w:r w:rsidR="00CB7F45" w:rsidRPr="00BD79DD">
        <w:rPr>
          <w:rFonts w:eastAsia="Times New Roman"/>
          <w:i/>
        </w:rPr>
        <w:t>selected</w:t>
      </w:r>
      <w:r w:rsidR="007352EC" w:rsidRPr="00BD79DD">
        <w:rPr>
          <w:rFonts w:eastAsia="Times New Roman"/>
          <w:i/>
        </w:rPr>
        <w:t xml:space="preserve"> </w:t>
      </w:r>
      <w:r w:rsidR="00CB7F45" w:rsidRPr="00BD79DD">
        <w:rPr>
          <w:rFonts w:eastAsia="Times New Roman"/>
          <w:i/>
        </w:rPr>
        <w:t xml:space="preserve">using </w:t>
      </w:r>
      <w:r w:rsidR="007352EC" w:rsidRPr="00BD79DD">
        <w:rPr>
          <w:rFonts w:eastAsia="Times New Roman"/>
          <w:i/>
        </w:rPr>
        <w:t xml:space="preserve">stratified random sampling method. Data were collected from the registrar </w:t>
      </w:r>
    </w:p>
    <w:p w14:paraId="552F9816" w14:textId="7490F306" w:rsidR="005E635F" w:rsidRPr="00BD79DD" w:rsidRDefault="007352EC" w:rsidP="007820EB">
      <w:pPr>
        <w:pStyle w:val="NormalWeb"/>
        <w:spacing w:before="0" w:beforeAutospacing="0" w:after="240" w:afterAutospacing="0" w:line="276" w:lineRule="auto"/>
        <w:jc w:val="both"/>
        <w:rPr>
          <w:i/>
          <w:iCs/>
        </w:rPr>
      </w:pPr>
      <w:r w:rsidRPr="00BD79DD">
        <w:rPr>
          <w:rFonts w:eastAsia="Times New Roman"/>
          <w:i/>
        </w:rPr>
        <w:t>of</w:t>
      </w:r>
      <w:r w:rsidR="00CB7F45" w:rsidRPr="00BD79DD">
        <w:rPr>
          <w:rFonts w:eastAsia="Times New Roman"/>
          <w:i/>
        </w:rPr>
        <w:t xml:space="preserve">fices of the private TVET colleges and </w:t>
      </w:r>
      <w:r w:rsidRPr="00BD79DD">
        <w:rPr>
          <w:rFonts w:eastAsia="Times New Roman"/>
          <w:i/>
        </w:rPr>
        <w:t>AOCACA (</w:t>
      </w:r>
      <w:r w:rsidRPr="00BD79DD">
        <w:rPr>
          <w:i/>
          <w:iCs/>
        </w:rPr>
        <w:t xml:space="preserve">Amhara Occupational Competency Assessment Certification Agency) </w:t>
      </w:r>
      <w:r w:rsidRPr="00BD79DD">
        <w:rPr>
          <w:rFonts w:eastAsia="Times New Roman"/>
          <w:i/>
        </w:rPr>
        <w:t xml:space="preserve">and the archives of each employer. </w:t>
      </w:r>
      <w:r w:rsidRPr="00BD79DD">
        <w:rPr>
          <w:i/>
          <w:iCs/>
        </w:rPr>
        <w:t>D</w:t>
      </w:r>
      <w:r w:rsidR="005E635F" w:rsidRPr="00BD79DD">
        <w:rPr>
          <w:i/>
          <w:iCs/>
        </w:rPr>
        <w:t>escriptive analysis</w:t>
      </w:r>
      <w:r w:rsidR="00CB7F45" w:rsidRPr="00BD79DD">
        <w:rPr>
          <w:i/>
          <w:iCs/>
        </w:rPr>
        <w:t>, o</w:t>
      </w:r>
      <w:r w:rsidR="005E635F" w:rsidRPr="00BD79DD">
        <w:rPr>
          <w:i/>
          <w:iCs/>
        </w:rPr>
        <w:t>ne-sample t-test</w:t>
      </w:r>
      <w:r w:rsidR="00CB7F45" w:rsidRPr="00BD79DD">
        <w:rPr>
          <w:i/>
          <w:iCs/>
        </w:rPr>
        <w:t>, paired s</w:t>
      </w:r>
      <w:r w:rsidR="005E635F" w:rsidRPr="00BD79DD">
        <w:rPr>
          <w:i/>
          <w:iCs/>
        </w:rPr>
        <w:t>ample t test employed</w:t>
      </w:r>
      <w:r w:rsidR="00B10C5B" w:rsidRPr="00BD79DD">
        <w:rPr>
          <w:i/>
          <w:iCs/>
        </w:rPr>
        <w:t>,</w:t>
      </w:r>
      <w:r w:rsidR="005E635F" w:rsidRPr="00BD79DD">
        <w:rPr>
          <w:i/>
          <w:iCs/>
        </w:rPr>
        <w:t xml:space="preserve"> </w:t>
      </w:r>
      <w:r w:rsidR="00B10C5B" w:rsidRPr="00BD79DD">
        <w:rPr>
          <w:i/>
        </w:rPr>
        <w:t xml:space="preserve">Pearson correlation coefficient and Simple linear regression applied </w:t>
      </w:r>
      <w:r w:rsidR="00CB7F45" w:rsidRPr="00BD79DD">
        <w:rPr>
          <w:i/>
          <w:iCs/>
        </w:rPr>
        <w:t>for analysis</w:t>
      </w:r>
      <w:r w:rsidR="005E635F" w:rsidRPr="00BD79DD">
        <w:rPr>
          <w:i/>
          <w:iCs/>
        </w:rPr>
        <w:t xml:space="preserve">. Qualitative analysis, including theme and content analysis, was carried out. Results indicated higher competence levels in IOCA but lacked validation in NOCA and ROCA due to students' lower competence levels, falling below predetermined cutoff points for competence in NOCA and ROCA assessments. Significant mean score differences were revealed among IOCA, NOCA, and ROCA, with statistically substantial distinctions observed between competent and not-yet-competent student groups across all assessments. Correlation and linear regression results suggested </w:t>
      </w:r>
      <w:r w:rsidR="009E1469" w:rsidRPr="00BD79DD">
        <w:rPr>
          <w:i/>
          <w:iCs/>
        </w:rPr>
        <w:t xml:space="preserve">statistically insignificant </w:t>
      </w:r>
      <w:r w:rsidR="005E635F" w:rsidRPr="00BD79DD">
        <w:rPr>
          <w:i/>
          <w:iCs/>
        </w:rPr>
        <w:t>relationship between variables, indicating weak predictive power of IOCA on NOCA and ROCA, as well as NOCA on ROCA. Theme analysis identified factors compromising predictive power, such as unawareness and unethical behavior among students, teachers, assessors, college administration, and regulatory bodies during the assessment process, pointing to poor assessment quality.</w:t>
      </w:r>
      <w:bookmarkStart w:id="1" w:name="_Hlk182383505"/>
      <w:r w:rsidR="00CB653B" w:rsidRPr="00BD79DD">
        <w:rPr>
          <w:rFonts w:eastAsia="Times New Roman"/>
          <w:i/>
          <w:color w:val="000000"/>
        </w:rPr>
        <w:t xml:space="preserve"> </w:t>
      </w:r>
      <w:bookmarkEnd w:id="1"/>
      <w:r w:rsidR="00CB653B" w:rsidRPr="00BD79DD">
        <w:rPr>
          <w:i/>
        </w:rPr>
        <w:t>In conclusion the findings of the study suggest that the current private TVET colleges</w:t>
      </w:r>
      <w:r w:rsidR="009E1469" w:rsidRPr="00BD79DD">
        <w:rPr>
          <w:i/>
        </w:rPr>
        <w:t xml:space="preserve"> are not carrying out CBA as it is intended to attain its objectives</w:t>
      </w:r>
      <w:r w:rsidR="00CB653B" w:rsidRPr="00BD79DD">
        <w:rPr>
          <w:i/>
        </w:rPr>
        <w:t xml:space="preserve">, </w:t>
      </w:r>
      <w:r w:rsidR="00CB7F45" w:rsidRPr="00BD79DD">
        <w:rPr>
          <w:i/>
        </w:rPr>
        <w:t>Concerned bodies in the area of TVET should revisit the competence based ass</w:t>
      </w:r>
      <w:r w:rsidR="009B0034" w:rsidRPr="00BD79DD">
        <w:rPr>
          <w:i/>
        </w:rPr>
        <w:t xml:space="preserve">essment from institutional, zones </w:t>
      </w:r>
      <w:r w:rsidR="00CB7F45" w:rsidRPr="00BD79DD">
        <w:rPr>
          <w:i/>
        </w:rPr>
        <w:t>and national level to bring about changes in the area</w:t>
      </w:r>
      <w:r w:rsidR="009E1469" w:rsidRPr="00BD79DD">
        <w:rPr>
          <w:i/>
        </w:rPr>
        <w:t>.</w:t>
      </w:r>
      <w:r w:rsidR="005E635F" w:rsidRPr="00BD79DD">
        <w:rPr>
          <w:i/>
          <w:iCs/>
        </w:rPr>
        <w:t xml:space="preserve"> </w:t>
      </w:r>
    </w:p>
    <w:p w14:paraId="1DEA651A" w14:textId="3C6D0196" w:rsidR="005E635F" w:rsidRPr="007820EB" w:rsidRDefault="007820EB" w:rsidP="0023437B">
      <w:pPr>
        <w:pStyle w:val="NormalWeb"/>
        <w:spacing w:before="0" w:beforeAutospacing="0" w:after="0" w:afterAutospacing="0" w:line="276" w:lineRule="auto"/>
        <w:jc w:val="both"/>
      </w:pPr>
      <w:r>
        <w:rPr>
          <w:b/>
        </w:rPr>
        <w:t>Keywords:</w:t>
      </w:r>
      <w:r w:rsidR="005E635F" w:rsidRPr="00CB7F45">
        <w:rPr>
          <w:color w:val="7030A0"/>
        </w:rPr>
        <w:t xml:space="preserve"> </w:t>
      </w:r>
      <w:r w:rsidRPr="00CB7F45">
        <w:t>Inst</w:t>
      </w:r>
      <w:r>
        <w:t xml:space="preserve">itutional </w:t>
      </w:r>
      <w:r w:rsidR="00E13263">
        <w:t>occupational competence a</w:t>
      </w:r>
      <w:r w:rsidRPr="00CB7F45">
        <w:t>ssessment,</w:t>
      </w:r>
      <w:r>
        <w:t xml:space="preserve"> </w:t>
      </w:r>
      <w:r w:rsidR="00E13263">
        <w:t>National occupational competence a</w:t>
      </w:r>
      <w:r w:rsidRPr="00CB7F45">
        <w:t xml:space="preserve">ssessment, </w:t>
      </w:r>
      <w:r w:rsidR="005E635F" w:rsidRPr="00CB7F45">
        <w:t>Pr</w:t>
      </w:r>
      <w:r w:rsidR="00E13263">
        <w:t>edictive validity, Recruitment occupational competence a</w:t>
      </w:r>
      <w:r w:rsidR="005E635F" w:rsidRPr="00CB7F45">
        <w:t>ssessment.</w:t>
      </w:r>
    </w:p>
    <w:p w14:paraId="12CFC173" w14:textId="77777777" w:rsidR="00A36470" w:rsidRDefault="00A36470" w:rsidP="007820EB">
      <w:pPr>
        <w:pStyle w:val="Heading1"/>
        <w:numPr>
          <w:ilvl w:val="0"/>
          <w:numId w:val="23"/>
        </w:numPr>
        <w:spacing w:before="120" w:after="120"/>
        <w:jc w:val="both"/>
        <w:rPr>
          <w:rFonts w:ascii="Times New Roman" w:hAnsi="Times New Roman" w:cs="Times New Roman"/>
          <w:b/>
          <w:color w:val="auto"/>
          <w:sz w:val="24"/>
          <w:szCs w:val="24"/>
        </w:rPr>
        <w:sectPr w:rsidR="00A36470" w:rsidSect="009136A5">
          <w:headerReference w:type="default" r:id="rId9"/>
          <w:footerReference w:type="default" r:id="rId10"/>
          <w:headerReference w:type="first" r:id="rId11"/>
          <w:footerReference w:type="first" r:id="rId12"/>
          <w:pgSz w:w="12240" w:h="15840"/>
          <w:pgMar w:top="1170" w:right="990" w:bottom="1170" w:left="990" w:header="270" w:footer="720" w:gutter="0"/>
          <w:pgNumType w:start="2046"/>
          <w:cols w:space="720"/>
          <w:titlePg/>
          <w:docGrid w:linePitch="360"/>
        </w:sectPr>
      </w:pPr>
    </w:p>
    <w:p w14:paraId="20612B25" w14:textId="56EE6619" w:rsidR="00760C52" w:rsidRPr="007820EB" w:rsidRDefault="00B72DC2" w:rsidP="009136A5">
      <w:pPr>
        <w:pStyle w:val="Heading1"/>
        <w:numPr>
          <w:ilvl w:val="0"/>
          <w:numId w:val="23"/>
        </w:numPr>
        <w:spacing w:before="120" w:after="120" w:line="276" w:lineRule="auto"/>
        <w:jc w:val="both"/>
        <w:rPr>
          <w:rFonts w:ascii="Times New Roman" w:hAnsi="Times New Roman" w:cs="Times New Roman"/>
          <w:b/>
          <w:color w:val="auto"/>
          <w:sz w:val="24"/>
          <w:szCs w:val="24"/>
        </w:rPr>
      </w:pPr>
      <w:r w:rsidRPr="007820EB">
        <w:rPr>
          <w:rFonts w:ascii="Times New Roman" w:hAnsi="Times New Roman" w:cs="Times New Roman"/>
          <w:b/>
          <w:color w:val="auto"/>
          <w:sz w:val="24"/>
          <w:szCs w:val="24"/>
        </w:rPr>
        <w:t xml:space="preserve">Introduction </w:t>
      </w:r>
    </w:p>
    <w:p w14:paraId="1B0E50AB" w14:textId="78B30AAA" w:rsidR="00127177" w:rsidRPr="003043A9" w:rsidRDefault="00B72DC2" w:rsidP="0023437B">
      <w:pPr>
        <w:spacing w:line="276" w:lineRule="auto"/>
        <w:jc w:val="both"/>
        <w:rPr>
          <w:rFonts w:ascii="Times New Roman" w:eastAsia="Times New Roman" w:hAnsi="Times New Roman" w:cs="Times New Roman"/>
          <w:b/>
          <w:bCs/>
          <w:color w:val="252525"/>
          <w:sz w:val="24"/>
          <w:szCs w:val="24"/>
        </w:rPr>
      </w:pPr>
      <w:r w:rsidRPr="003043A9">
        <w:rPr>
          <w:rFonts w:ascii="Times New Roman" w:eastAsia="Times New Roman" w:hAnsi="Times New Roman" w:cs="Times New Roman"/>
          <w:bCs/>
          <w:color w:val="252525"/>
          <w:sz w:val="24"/>
          <w:szCs w:val="24"/>
        </w:rPr>
        <w:t xml:space="preserve">Assessment is a crucial tool in competence-based education, as it helps trainers improve the quality </w:t>
      </w:r>
      <w:r w:rsidRPr="003043A9">
        <w:rPr>
          <w:rFonts w:ascii="Times New Roman" w:eastAsia="Times New Roman" w:hAnsi="Times New Roman" w:cs="Times New Roman"/>
          <w:bCs/>
          <w:color w:val="252525"/>
          <w:sz w:val="24"/>
          <w:szCs w:val="24"/>
        </w:rPr>
        <w:t xml:space="preserve">of teaching and learning, evaluate trainees' ability to perform professional tasks </w:t>
      </w:r>
      <w:r w:rsidRPr="003043A9">
        <w:rPr>
          <w:rFonts w:ascii="Times New Roman" w:hAnsi="Times New Roman" w:cs="Times New Roman"/>
          <w:sz w:val="24"/>
          <w:szCs w:val="24"/>
        </w:rPr>
        <w:t>(Gulikers et al., 2010)</w:t>
      </w:r>
      <w:r w:rsidRPr="003043A9">
        <w:rPr>
          <w:rFonts w:ascii="Times New Roman" w:eastAsia="Times New Roman" w:hAnsi="Times New Roman" w:cs="Times New Roman"/>
          <w:bCs/>
          <w:color w:val="252525"/>
          <w:sz w:val="24"/>
          <w:szCs w:val="24"/>
        </w:rPr>
        <w:t xml:space="preserve">, and provide mutual feedback to learners and teachers. In the context of TVET, assessment </w:t>
      </w:r>
      <w:r w:rsidRPr="003043A9">
        <w:rPr>
          <w:rFonts w:ascii="Times New Roman" w:eastAsia="Times New Roman" w:hAnsi="Times New Roman" w:cs="Times New Roman"/>
          <w:bCs/>
          <w:color w:val="252525"/>
          <w:sz w:val="24"/>
          <w:szCs w:val="24"/>
        </w:rPr>
        <w:lastRenderedPageBreak/>
        <w:t xml:space="preserve">is essential for receiving college credit and ensuring further education </w:t>
      </w:r>
      <w:r w:rsidRPr="003043A9">
        <w:rPr>
          <w:rFonts w:ascii="Times New Roman" w:hAnsi="Times New Roman" w:cs="Times New Roman"/>
          <w:sz w:val="24"/>
          <w:szCs w:val="24"/>
        </w:rPr>
        <w:t>(Black &amp; William, 20</w:t>
      </w:r>
      <w:r w:rsidR="00130E9E" w:rsidRPr="003043A9">
        <w:rPr>
          <w:rFonts w:ascii="Times New Roman" w:hAnsi="Times New Roman" w:cs="Times New Roman"/>
          <w:sz w:val="24"/>
          <w:szCs w:val="24"/>
        </w:rPr>
        <w:t>10</w:t>
      </w:r>
      <w:bookmarkStart w:id="2" w:name="_Hlk158335770"/>
      <w:r w:rsidRPr="003043A9">
        <w:rPr>
          <w:rFonts w:ascii="Times New Roman" w:hAnsi="Times New Roman" w:cs="Times New Roman"/>
          <w:sz w:val="24"/>
          <w:szCs w:val="24"/>
        </w:rPr>
        <w:t>)</w:t>
      </w:r>
      <w:r w:rsidRPr="003043A9">
        <w:rPr>
          <w:rFonts w:ascii="Times New Roman" w:eastAsia="Times New Roman" w:hAnsi="Times New Roman" w:cs="Times New Roman"/>
          <w:bCs/>
          <w:color w:val="252525"/>
          <w:sz w:val="24"/>
          <w:szCs w:val="24"/>
        </w:rPr>
        <w:t xml:space="preserve">. </w:t>
      </w:r>
      <w:bookmarkEnd w:id="2"/>
      <w:r w:rsidR="003043A9" w:rsidRPr="003043A9">
        <w:rPr>
          <w:rFonts w:ascii="Times New Roman" w:hAnsi="Times New Roman" w:cs="Times New Roman"/>
          <w:sz w:val="24"/>
          <w:szCs w:val="24"/>
        </w:rPr>
        <w:t>To become a TVET institution trainer, one must demonstrate competence in institutional occupational competence assessment (IOCA), national occupational competence assessment (NOCA), and recruitment occupational competence assessment (ROCA) (FTA, 2014).</w:t>
      </w:r>
    </w:p>
    <w:p w14:paraId="53066CD9" w14:textId="2A9E568A" w:rsidR="00127177" w:rsidRPr="002944E9" w:rsidRDefault="00BF4933" w:rsidP="00A36470">
      <w:pPr>
        <w:spacing w:before="100" w:beforeAutospacing="1" w:after="100" w:afterAutospacing="1" w:line="276" w:lineRule="auto"/>
        <w:jc w:val="both"/>
        <w:rPr>
          <w:rFonts w:ascii="Times New Roman" w:eastAsia="Times New Roman" w:hAnsi="Times New Roman" w:cs="Times New Roman"/>
          <w:b/>
          <w:bCs/>
          <w:color w:val="252525"/>
          <w:sz w:val="24"/>
          <w:szCs w:val="24"/>
        </w:rPr>
      </w:pPr>
      <w:r w:rsidRPr="002944E9">
        <w:rPr>
          <w:rFonts w:ascii="Times New Roman" w:hAnsi="Times New Roman" w:cs="Times New Roman"/>
          <w:sz w:val="24"/>
          <w:szCs w:val="24"/>
        </w:rPr>
        <w:t xml:space="preserve">In Ethiopian TVET education, IOCA is utilized to assess the extent to which students have successfully acquired essential knowledge, skills, and attitudes, specifically referring to occupational standards in each unit of competence, course, and level within both the classroom </w:t>
      </w:r>
      <w:r w:rsidR="009A0584" w:rsidRPr="002944E9">
        <w:rPr>
          <w:rFonts w:ascii="Times New Roman" w:hAnsi="Times New Roman" w:cs="Times New Roman"/>
          <w:sz w:val="24"/>
          <w:szCs w:val="24"/>
        </w:rPr>
        <w:t>and company</w:t>
      </w:r>
      <w:r w:rsidRPr="002944E9">
        <w:rPr>
          <w:rFonts w:ascii="Times New Roman" w:hAnsi="Times New Roman" w:cs="Times New Roman"/>
          <w:sz w:val="24"/>
          <w:szCs w:val="24"/>
        </w:rPr>
        <w:t xml:space="preserve"> training </w:t>
      </w:r>
      <w:r w:rsidR="004757E6" w:rsidRPr="002944E9">
        <w:rPr>
          <w:rFonts w:ascii="Times New Roman" w:hAnsi="Times New Roman" w:cs="Times New Roman"/>
          <w:sz w:val="24"/>
          <w:szCs w:val="24"/>
        </w:rPr>
        <w:t>(</w:t>
      </w:r>
      <w:r w:rsidR="00C04902" w:rsidRPr="002944E9">
        <w:rPr>
          <w:rFonts w:ascii="Times New Roman" w:hAnsi="Times New Roman" w:cs="Times New Roman"/>
          <w:sz w:val="24"/>
          <w:szCs w:val="24"/>
        </w:rPr>
        <w:t>FTA</w:t>
      </w:r>
      <w:r w:rsidR="004757E6" w:rsidRPr="002944E9">
        <w:rPr>
          <w:rFonts w:ascii="Times New Roman" w:hAnsi="Times New Roman" w:cs="Times New Roman"/>
          <w:sz w:val="24"/>
          <w:szCs w:val="24"/>
        </w:rPr>
        <w:t>, 20</w:t>
      </w:r>
      <w:r w:rsidR="00C04902" w:rsidRPr="002944E9">
        <w:rPr>
          <w:rFonts w:ascii="Times New Roman" w:hAnsi="Times New Roman" w:cs="Times New Roman"/>
          <w:sz w:val="24"/>
          <w:szCs w:val="24"/>
        </w:rPr>
        <w:t>14</w:t>
      </w:r>
      <w:r w:rsidR="004757E6" w:rsidRPr="002944E9">
        <w:rPr>
          <w:rFonts w:ascii="Times New Roman" w:hAnsi="Times New Roman" w:cs="Times New Roman"/>
          <w:sz w:val="24"/>
          <w:szCs w:val="24"/>
        </w:rPr>
        <w:t>)</w:t>
      </w:r>
      <w:r w:rsidR="009A0584" w:rsidRPr="002944E9">
        <w:rPr>
          <w:rFonts w:ascii="Times New Roman" w:hAnsi="Times New Roman" w:cs="Times New Roman"/>
          <w:sz w:val="24"/>
          <w:szCs w:val="24"/>
        </w:rPr>
        <w:t xml:space="preserve">. </w:t>
      </w:r>
      <w:r w:rsidRPr="002944E9">
        <w:rPr>
          <w:rFonts w:ascii="Times New Roman" w:hAnsi="Times New Roman" w:cs="Times New Roman"/>
          <w:sz w:val="24"/>
          <w:szCs w:val="24"/>
        </w:rPr>
        <w:t xml:space="preserve">Similarly, NOCA, prepared at the national level and implemented by regional occupational competence assessment and certification agencies, is used to evaluate students' competence and indirectly assess colleges through students' competence. The assessment employs the same content to ensure the successful completion of each level of competence </w:t>
      </w:r>
      <w:r w:rsidR="00037AB7" w:rsidRPr="002944E9">
        <w:rPr>
          <w:rFonts w:ascii="Times New Roman" w:hAnsi="Times New Roman" w:cs="Times New Roman"/>
          <w:sz w:val="24"/>
          <w:szCs w:val="24"/>
        </w:rPr>
        <w:t>(FTA, 2014</w:t>
      </w:r>
      <w:r w:rsidRPr="002944E9">
        <w:rPr>
          <w:rFonts w:ascii="Times New Roman" w:hAnsi="Times New Roman" w:cs="Times New Roman"/>
          <w:sz w:val="24"/>
          <w:szCs w:val="24"/>
        </w:rPr>
        <w:t>). Additionally, ROCA is utilized in the selection of graduates for employment. Students are expected to demonstrate relatively similar competence in three consecutive assessments, as each unit of competence in the course is designed based on the needs of employers (</w:t>
      </w:r>
      <w:r w:rsidR="00155905" w:rsidRPr="002944E9">
        <w:rPr>
          <w:rFonts w:ascii="Times New Roman" w:hAnsi="Times New Roman" w:cs="Times New Roman"/>
          <w:sz w:val="24"/>
          <w:szCs w:val="24"/>
        </w:rPr>
        <w:t>FTA</w:t>
      </w:r>
      <w:r w:rsidRPr="002944E9">
        <w:rPr>
          <w:rFonts w:ascii="Times New Roman" w:hAnsi="Times New Roman" w:cs="Times New Roman"/>
          <w:sz w:val="24"/>
          <w:szCs w:val="24"/>
        </w:rPr>
        <w:t>, 20</w:t>
      </w:r>
      <w:r w:rsidR="00155905" w:rsidRPr="002944E9">
        <w:rPr>
          <w:rFonts w:ascii="Times New Roman" w:hAnsi="Times New Roman" w:cs="Times New Roman"/>
          <w:sz w:val="24"/>
          <w:szCs w:val="24"/>
        </w:rPr>
        <w:t>14</w:t>
      </w:r>
      <w:r w:rsidRPr="002944E9">
        <w:rPr>
          <w:rFonts w:ascii="Times New Roman" w:hAnsi="Times New Roman" w:cs="Times New Roman"/>
          <w:sz w:val="24"/>
          <w:szCs w:val="24"/>
        </w:rPr>
        <w:t>).</w:t>
      </w:r>
    </w:p>
    <w:p w14:paraId="0E3A2874" w14:textId="7609F96D" w:rsidR="00127177" w:rsidRPr="00A36470" w:rsidRDefault="00435E90" w:rsidP="00A36470">
      <w:pPr>
        <w:spacing w:before="100" w:beforeAutospacing="1" w:after="100" w:afterAutospacing="1" w:line="276" w:lineRule="auto"/>
        <w:jc w:val="both"/>
        <w:rPr>
          <w:rFonts w:ascii="Times New Roman" w:eastAsia="Times New Roman" w:hAnsi="Times New Roman" w:cs="Times New Roman"/>
          <w:b/>
          <w:bCs/>
          <w:color w:val="252525"/>
          <w:sz w:val="24"/>
          <w:szCs w:val="24"/>
        </w:rPr>
      </w:pPr>
      <w:r w:rsidRPr="00A36470">
        <w:rPr>
          <w:rFonts w:ascii="Times New Roman" w:eastAsia="Times New Roman" w:hAnsi="Times New Roman" w:cs="Times New Roman"/>
          <w:bCs/>
          <w:color w:val="252525"/>
          <w:sz w:val="24"/>
          <w:szCs w:val="24"/>
        </w:rPr>
        <w:t xml:space="preserve">After the implementation of </w:t>
      </w:r>
      <w:r w:rsidR="00A24A7C" w:rsidRPr="00A36470">
        <w:rPr>
          <w:rFonts w:ascii="Times New Roman" w:eastAsia="Times New Roman" w:hAnsi="Times New Roman" w:cs="Times New Roman"/>
          <w:bCs/>
          <w:color w:val="252525"/>
          <w:sz w:val="24"/>
          <w:szCs w:val="24"/>
        </w:rPr>
        <w:t xml:space="preserve">the </w:t>
      </w:r>
      <w:r w:rsidRPr="00A36470">
        <w:rPr>
          <w:rFonts w:ascii="Times New Roman" w:eastAsia="Times New Roman" w:hAnsi="Times New Roman" w:cs="Times New Roman"/>
          <w:bCs/>
          <w:color w:val="252525"/>
          <w:sz w:val="24"/>
          <w:szCs w:val="24"/>
        </w:rPr>
        <w:t>new TVET strategy, students must pass three consecutive assessments to confirm their competence</w:t>
      </w:r>
      <w:r w:rsidRPr="00A36470">
        <w:rPr>
          <w:rFonts w:ascii="Times New Roman" w:hAnsi="Times New Roman" w:cs="Times New Roman"/>
          <w:sz w:val="24"/>
          <w:szCs w:val="24"/>
        </w:rPr>
        <w:t xml:space="preserve"> (MOE, 2008)</w:t>
      </w:r>
      <w:r w:rsidRPr="00A36470">
        <w:rPr>
          <w:rFonts w:ascii="Times New Roman" w:eastAsia="Times New Roman" w:hAnsi="Times New Roman" w:cs="Times New Roman"/>
          <w:bCs/>
          <w:color w:val="252525"/>
          <w:sz w:val="24"/>
          <w:szCs w:val="24"/>
        </w:rPr>
        <w:t xml:space="preserve">. </w:t>
      </w:r>
      <w:bookmarkStart w:id="3" w:name="_Hlk158351571"/>
      <w:r w:rsidRPr="00A36470">
        <w:rPr>
          <w:rFonts w:ascii="Times New Roman" w:eastAsia="Times New Roman" w:hAnsi="Times New Roman" w:cs="Times New Roman"/>
          <w:bCs/>
          <w:color w:val="252525"/>
          <w:sz w:val="24"/>
          <w:szCs w:val="24"/>
        </w:rPr>
        <w:t xml:space="preserve">To practice this, using appropriate assessment strategies and models, and applying </w:t>
      </w:r>
      <w:r w:rsidR="00C04902" w:rsidRPr="00A36470">
        <w:rPr>
          <w:rFonts w:ascii="Times New Roman" w:eastAsia="Times New Roman" w:hAnsi="Times New Roman" w:cs="Times New Roman"/>
          <w:bCs/>
          <w:color w:val="252525"/>
          <w:sz w:val="24"/>
          <w:szCs w:val="24"/>
        </w:rPr>
        <w:t>quality principles</w:t>
      </w:r>
      <w:r w:rsidRPr="00A36470">
        <w:rPr>
          <w:rFonts w:ascii="Times New Roman" w:eastAsia="Times New Roman" w:hAnsi="Times New Roman" w:cs="Times New Roman"/>
          <w:bCs/>
          <w:color w:val="252525"/>
          <w:sz w:val="24"/>
          <w:szCs w:val="24"/>
        </w:rPr>
        <w:t xml:space="preserve"> of </w:t>
      </w:r>
      <w:r w:rsidR="00A24A7C" w:rsidRPr="00A36470">
        <w:rPr>
          <w:rFonts w:ascii="Times New Roman" w:eastAsia="Times New Roman" w:hAnsi="Times New Roman" w:cs="Times New Roman"/>
          <w:bCs/>
          <w:color w:val="252525"/>
          <w:sz w:val="24"/>
          <w:szCs w:val="24"/>
        </w:rPr>
        <w:t>competency-based</w:t>
      </w:r>
      <w:r w:rsidRPr="00A36470">
        <w:rPr>
          <w:rFonts w:ascii="Times New Roman" w:eastAsia="Times New Roman" w:hAnsi="Times New Roman" w:cs="Times New Roman"/>
          <w:bCs/>
          <w:color w:val="252525"/>
          <w:sz w:val="24"/>
          <w:szCs w:val="24"/>
        </w:rPr>
        <w:t xml:space="preserve"> assessment</w:t>
      </w:r>
      <w:r w:rsidRPr="00A36470">
        <w:rPr>
          <w:rFonts w:ascii="Times New Roman" w:hAnsi="Times New Roman" w:cs="Times New Roman"/>
          <w:sz w:val="24"/>
          <w:szCs w:val="24"/>
        </w:rPr>
        <w:t xml:space="preserve"> (CBA)</w:t>
      </w:r>
      <w:r w:rsidRPr="00A36470">
        <w:rPr>
          <w:rFonts w:ascii="Times New Roman" w:eastAsia="Times New Roman" w:hAnsi="Times New Roman" w:cs="Times New Roman"/>
          <w:bCs/>
          <w:color w:val="252525"/>
          <w:sz w:val="24"/>
          <w:szCs w:val="24"/>
        </w:rPr>
        <w:t xml:space="preserve"> is significant </w:t>
      </w:r>
      <w:r w:rsidR="00A24A7C" w:rsidRPr="00A36470">
        <w:rPr>
          <w:rFonts w:ascii="Times New Roman" w:eastAsia="Times New Roman" w:hAnsi="Times New Roman" w:cs="Times New Roman"/>
          <w:bCs/>
          <w:color w:val="252525"/>
          <w:sz w:val="24"/>
          <w:szCs w:val="24"/>
        </w:rPr>
        <w:t>and</w:t>
      </w:r>
      <w:r w:rsidRPr="00A36470">
        <w:rPr>
          <w:rFonts w:ascii="Times New Roman" w:eastAsia="Times New Roman" w:hAnsi="Times New Roman" w:cs="Times New Roman"/>
          <w:bCs/>
          <w:color w:val="252525"/>
          <w:sz w:val="24"/>
          <w:szCs w:val="24"/>
        </w:rPr>
        <w:t xml:space="preserve"> should satisfy the requirements such as validity, reliability, flexibility, fairness, authenticity,</w:t>
      </w:r>
      <w:bookmarkStart w:id="4" w:name="_Hlk154685411"/>
      <w:bookmarkEnd w:id="3"/>
      <w:r w:rsidR="009D046A">
        <w:rPr>
          <w:rFonts w:ascii="Times New Roman" w:eastAsia="Times New Roman" w:hAnsi="Times New Roman" w:cs="Times New Roman"/>
          <w:bCs/>
          <w:color w:val="252525"/>
          <w:sz w:val="24"/>
          <w:szCs w:val="24"/>
        </w:rPr>
        <w:t xml:space="preserve"> </w:t>
      </w:r>
      <w:r w:rsidR="009D046A" w:rsidRPr="009D046A">
        <w:rPr>
          <w:rFonts w:ascii="Times New Roman" w:eastAsia="Times New Roman" w:hAnsi="Times New Roman" w:cs="Times New Roman"/>
          <w:bCs/>
          <w:color w:val="252525"/>
          <w:sz w:val="24"/>
          <w:szCs w:val="24"/>
        </w:rPr>
        <w:t>currency, and cost-effectiveness (BCSEA, 2022; Rumsey, 1994; Smith &amp; Keating, 2003).</w:t>
      </w:r>
    </w:p>
    <w:p w14:paraId="22CCFA8E" w14:textId="2E953FDB" w:rsidR="00C411AE" w:rsidRPr="00A36470" w:rsidRDefault="00435E90" w:rsidP="00A36470">
      <w:pPr>
        <w:spacing w:after="0" w:line="276" w:lineRule="auto"/>
        <w:jc w:val="both"/>
        <w:rPr>
          <w:rFonts w:ascii="Times New Roman" w:eastAsia="Times New Roman" w:hAnsi="Times New Roman" w:cs="Times New Roman"/>
          <w:b/>
          <w:bCs/>
          <w:color w:val="252525"/>
          <w:sz w:val="24"/>
          <w:szCs w:val="24"/>
        </w:rPr>
      </w:pPr>
      <w:r w:rsidRPr="00A36470">
        <w:rPr>
          <w:rFonts w:ascii="Times New Roman" w:hAnsi="Times New Roman" w:cs="Times New Roman"/>
          <w:sz w:val="24"/>
          <w:szCs w:val="24"/>
        </w:rPr>
        <w:t>IOCA</w:t>
      </w:r>
      <w:r w:rsidRPr="00A36470">
        <w:rPr>
          <w:rFonts w:ascii="Times New Roman" w:eastAsia="Times New Roman" w:hAnsi="Times New Roman" w:cs="Times New Roman"/>
          <w:bCs/>
          <w:color w:val="252525"/>
          <w:sz w:val="24"/>
          <w:szCs w:val="24"/>
        </w:rPr>
        <w:t xml:space="preserve"> </w:t>
      </w:r>
      <w:bookmarkEnd w:id="4"/>
      <w:r w:rsidRPr="00A36470">
        <w:rPr>
          <w:rFonts w:ascii="Times New Roman" w:eastAsia="Times New Roman" w:hAnsi="Times New Roman" w:cs="Times New Roman"/>
          <w:bCs/>
          <w:color w:val="252525"/>
          <w:sz w:val="24"/>
          <w:szCs w:val="24"/>
        </w:rPr>
        <w:t xml:space="preserve">must truly measure what it is expected to measure and identify competent trainees from not yet competent, then the outcomes to be recognized </w:t>
      </w:r>
      <w:r w:rsidR="00A24A7C" w:rsidRPr="00A36470">
        <w:rPr>
          <w:rFonts w:ascii="Times New Roman" w:eastAsia="Times New Roman" w:hAnsi="Times New Roman" w:cs="Times New Roman"/>
          <w:bCs/>
          <w:color w:val="252525"/>
          <w:sz w:val="24"/>
          <w:szCs w:val="24"/>
        </w:rPr>
        <w:t xml:space="preserve">as </w:t>
      </w:r>
      <w:r w:rsidRPr="00A36470">
        <w:rPr>
          <w:rFonts w:ascii="Times New Roman" w:eastAsia="Times New Roman" w:hAnsi="Times New Roman" w:cs="Times New Roman"/>
          <w:bCs/>
          <w:color w:val="252525"/>
          <w:sz w:val="24"/>
          <w:szCs w:val="24"/>
        </w:rPr>
        <w:t>trustworthy and predict</w:t>
      </w:r>
      <w:r w:rsidR="00FC503B" w:rsidRPr="00A36470">
        <w:rPr>
          <w:rFonts w:ascii="Times New Roman" w:hAnsi="Times New Roman" w:cs="Times New Roman"/>
          <w:sz w:val="24"/>
          <w:szCs w:val="24"/>
        </w:rPr>
        <w:t xml:space="preserve"> NOCA and </w:t>
      </w:r>
      <w:bookmarkStart w:id="5" w:name="_Hlk156491566"/>
      <w:r w:rsidR="00FC503B" w:rsidRPr="00A36470">
        <w:rPr>
          <w:rFonts w:ascii="Times New Roman" w:hAnsi="Times New Roman" w:cs="Times New Roman"/>
          <w:sz w:val="24"/>
          <w:szCs w:val="24"/>
        </w:rPr>
        <w:t>ROCA</w:t>
      </w:r>
      <w:r w:rsidR="00FC503B" w:rsidRPr="00A36470">
        <w:rPr>
          <w:rFonts w:ascii="Times New Roman" w:eastAsia="Times New Roman" w:hAnsi="Times New Roman" w:cs="Times New Roman"/>
          <w:sz w:val="24"/>
          <w:szCs w:val="24"/>
        </w:rPr>
        <w:t>, the same task expected from NOCA to ROCA</w:t>
      </w:r>
      <w:r w:rsidR="00A64BD9" w:rsidRPr="00A36470">
        <w:rPr>
          <w:rFonts w:ascii="Times New Roman" w:eastAsia="Times New Roman" w:hAnsi="Times New Roman" w:cs="Times New Roman"/>
          <w:sz w:val="24"/>
          <w:szCs w:val="24"/>
        </w:rPr>
        <w:t>.</w:t>
      </w:r>
      <w:r w:rsidR="00233406" w:rsidRPr="00A36470">
        <w:rPr>
          <w:rFonts w:ascii="Times New Roman" w:eastAsia="Times New Roman" w:hAnsi="Times New Roman" w:cs="Times New Roman"/>
          <w:sz w:val="24"/>
          <w:szCs w:val="24"/>
        </w:rPr>
        <w:t xml:space="preserve"> </w:t>
      </w:r>
      <w:r w:rsidR="00934752" w:rsidRPr="00A36470">
        <w:rPr>
          <w:rFonts w:ascii="Times New Roman" w:eastAsia="Times New Roman" w:hAnsi="Times New Roman" w:cs="Times New Roman"/>
          <w:sz w:val="24"/>
          <w:szCs w:val="24"/>
        </w:rPr>
        <w:t>This</w:t>
      </w:r>
      <w:r w:rsidR="00BF4933" w:rsidRPr="00A36470">
        <w:rPr>
          <w:rFonts w:ascii="Times New Roman" w:eastAsia="Times New Roman" w:hAnsi="Times New Roman" w:cs="Times New Roman"/>
          <w:sz w:val="24"/>
          <w:szCs w:val="24"/>
        </w:rPr>
        <w:t xml:space="preserve"> research </w:t>
      </w:r>
      <w:r w:rsidR="00A24A7C" w:rsidRPr="00A36470">
        <w:rPr>
          <w:rFonts w:ascii="Times New Roman" w:eastAsia="Times New Roman" w:hAnsi="Times New Roman" w:cs="Times New Roman"/>
          <w:sz w:val="24"/>
          <w:szCs w:val="24"/>
        </w:rPr>
        <w:t>emphasizes</w:t>
      </w:r>
      <w:r w:rsidR="00BF4933" w:rsidRPr="00A36470">
        <w:rPr>
          <w:rFonts w:ascii="Times New Roman" w:eastAsia="Times New Roman" w:hAnsi="Times New Roman" w:cs="Times New Roman"/>
          <w:sz w:val="24"/>
          <w:szCs w:val="24"/>
        </w:rPr>
        <w:t xml:space="preserve"> predictive validity (PV), a type of criterion-related validity that measures the extent to which a test can forecast future outcomes. In the context of a competence test, PV pertains to the ability of the test to draw inferences regarding competence. Investigating PV in a competence test is common because it is crucial to determine whether the primary objective of the competence exam, which is to assess an examinee’s ability to perform successfully in a future course, is achieved.</w:t>
      </w:r>
      <w:r w:rsidR="00BF4933" w:rsidRPr="00A36470">
        <w:rPr>
          <w:rFonts w:ascii="Times New Roman" w:hAnsi="Times New Roman" w:cs="Times New Roman"/>
          <w:sz w:val="24"/>
          <w:szCs w:val="24"/>
        </w:rPr>
        <w:t xml:space="preserve"> </w:t>
      </w:r>
      <w:hyperlink r:id="rId13" w:tooltip="All articles by Kassiani Nikolopoulou" w:history="1">
        <w:r w:rsidR="00680C87" w:rsidRPr="00A36470">
          <w:rPr>
            <w:rFonts w:ascii="Times New Roman" w:hAnsi="Times New Roman" w:cs="Times New Roman"/>
            <w:sz w:val="24"/>
            <w:szCs w:val="24"/>
          </w:rPr>
          <w:t>Nikolopoulou</w:t>
        </w:r>
      </w:hyperlink>
      <w:r w:rsidR="00680C87" w:rsidRPr="00A36470">
        <w:rPr>
          <w:rFonts w:ascii="Times New Roman" w:hAnsi="Times New Roman" w:cs="Times New Roman"/>
          <w:sz w:val="24"/>
          <w:szCs w:val="24"/>
        </w:rPr>
        <w:t xml:space="preserve"> </w:t>
      </w:r>
      <w:r w:rsidR="00BF4933" w:rsidRPr="00A36470">
        <w:rPr>
          <w:rFonts w:ascii="Times New Roman" w:eastAsia="Times New Roman" w:hAnsi="Times New Roman" w:cs="Times New Roman"/>
          <w:sz w:val="24"/>
          <w:szCs w:val="24"/>
        </w:rPr>
        <w:t>(</w:t>
      </w:r>
      <w:r w:rsidR="00680C87" w:rsidRPr="00A36470">
        <w:rPr>
          <w:rFonts w:ascii="Times New Roman" w:eastAsia="Times New Roman" w:hAnsi="Times New Roman" w:cs="Times New Roman"/>
          <w:sz w:val="24"/>
          <w:szCs w:val="24"/>
        </w:rPr>
        <w:t>2022</w:t>
      </w:r>
      <w:r w:rsidR="00BF4933" w:rsidRPr="00A36470">
        <w:rPr>
          <w:rFonts w:ascii="Times New Roman" w:eastAsia="Times New Roman" w:hAnsi="Times New Roman" w:cs="Times New Roman"/>
          <w:sz w:val="24"/>
          <w:szCs w:val="24"/>
        </w:rPr>
        <w:t xml:space="preserve">) </w:t>
      </w:r>
      <w:r w:rsidR="007C637B" w:rsidRPr="00A36470">
        <w:rPr>
          <w:rFonts w:ascii="Times New Roman" w:eastAsia="Times New Roman" w:hAnsi="Times New Roman" w:cs="Times New Roman"/>
          <w:sz w:val="24"/>
          <w:szCs w:val="24"/>
        </w:rPr>
        <w:t xml:space="preserve">claimed </w:t>
      </w:r>
      <w:r w:rsidR="00C411AE" w:rsidRPr="00A36470">
        <w:rPr>
          <w:rFonts w:ascii="Times New Roman" w:eastAsia="Times New Roman" w:hAnsi="Times New Roman" w:cs="Times New Roman"/>
          <w:sz w:val="24"/>
          <w:szCs w:val="24"/>
        </w:rPr>
        <w:t xml:space="preserve">that </w:t>
      </w:r>
      <w:r w:rsidR="00AF3D09" w:rsidRPr="00A36470">
        <w:rPr>
          <w:rFonts w:ascii="Times New Roman" w:hAnsi="Times New Roman" w:cs="Times New Roman"/>
          <w:sz w:val="24"/>
          <w:szCs w:val="24"/>
        </w:rPr>
        <w:t xml:space="preserve">predictive validity </w:t>
      </w:r>
      <w:r w:rsidR="00C411AE" w:rsidRPr="00A36470">
        <w:rPr>
          <w:rFonts w:ascii="Times New Roman" w:hAnsi="Times New Roman" w:cs="Times New Roman"/>
          <w:sz w:val="24"/>
          <w:szCs w:val="24"/>
        </w:rPr>
        <w:t xml:space="preserve">(PV) is demonstrated when a test can predict future performance. </w:t>
      </w:r>
    </w:p>
    <w:p w14:paraId="6C1D5D31" w14:textId="77777777" w:rsidR="00BF3F5B" w:rsidRDefault="00B71719" w:rsidP="00A36470">
      <w:pPr>
        <w:pStyle w:val="NormalWeb"/>
        <w:spacing w:line="276" w:lineRule="auto"/>
        <w:jc w:val="both"/>
      </w:pPr>
      <w:bookmarkStart w:id="6" w:name="_Hlk154356453"/>
      <w:bookmarkEnd w:id="5"/>
      <w:r w:rsidRPr="00050BEF">
        <w:t xml:space="preserve">Previous research on assessment has focused on the predictive validity of various tests. </w:t>
      </w:r>
      <w:proofErr w:type="spellStart"/>
      <w:r w:rsidRPr="00050BEF">
        <w:t>Machingambi</w:t>
      </w:r>
      <w:proofErr w:type="spellEnd"/>
      <w:r w:rsidRPr="00050BEF">
        <w:t xml:space="preserve"> (2017) found that teacher-made assessments in Zimbabwe’s primary education system were reliable for predicting student performance, using two tests—one as a predictor and the other as a criterion—administered to 80 secondary school students. The study concluded that tests proven to be valid were also trustworthy for prediction purposes. </w:t>
      </w:r>
    </w:p>
    <w:p w14:paraId="6FA1374D" w14:textId="0CAE2491" w:rsidR="00050BEF" w:rsidRPr="009B0034" w:rsidRDefault="00B71719" w:rsidP="00A36470">
      <w:pPr>
        <w:pStyle w:val="NormalWeb"/>
        <w:spacing w:line="276" w:lineRule="auto"/>
        <w:jc w:val="both"/>
      </w:pPr>
      <w:r w:rsidRPr="00050BEF">
        <w:t>Similarly, Geiser and Santelics (2007) found that high school GPA was a strong predictor of freshman year success. Melaku (2013) explored the predictive validity of university entrance exams and high school GPAs for first-year university students, revealing that university entrance exam scores were more strongly correlated with academic success.</w:t>
      </w:r>
      <w:r w:rsidR="00C147D3" w:rsidRPr="00C147D3">
        <w:t xml:space="preserve"> </w:t>
      </w:r>
      <w:r w:rsidR="00C147D3" w:rsidRPr="002944E9">
        <w:t>(Geiser &amp; Santelics, 2007; Melaku</w:t>
      </w:r>
      <w:r w:rsidR="00C147D3" w:rsidRPr="009B0034">
        <w:t>, 2013).</w:t>
      </w:r>
      <w:r w:rsidRPr="009B0034">
        <w:t xml:space="preserve"> </w:t>
      </w:r>
    </w:p>
    <w:p w14:paraId="042DF89A" w14:textId="13E3F7E8" w:rsidR="00B71719" w:rsidRDefault="00050BEF" w:rsidP="00A36470">
      <w:pPr>
        <w:pStyle w:val="NormalWeb"/>
        <w:spacing w:line="276" w:lineRule="auto"/>
        <w:jc w:val="both"/>
        <w:rPr>
          <w:rFonts w:eastAsia="Times New Roman"/>
        </w:rPr>
      </w:pPr>
      <w:r w:rsidRPr="009B0034">
        <w:lastRenderedPageBreak/>
        <w:t xml:space="preserve">In a study by </w:t>
      </w:r>
      <w:proofErr w:type="spellStart"/>
      <w:r w:rsidR="00B71719" w:rsidRPr="009B0034">
        <w:t>Corengia</w:t>
      </w:r>
      <w:proofErr w:type="spellEnd"/>
      <w:r w:rsidR="00B71719" w:rsidRPr="009B0034">
        <w:t xml:space="preserve"> et al. (2013) investigated the use of the Differential Aptitude Test (DAT)</w:t>
      </w:r>
      <w:r w:rsidR="00B71719" w:rsidRPr="00050BEF">
        <w:t xml:space="preserve"> in predicting academic performance and attrition among 1,530 first-year undergraduates at a private Argentine university, concluding that DAT scores were predictive of academic outcomes. Finally, Eunice (2018) examined the validity of primary school certificate scores as predictors of secondary school performance in Kenya, finding a strong positive correlation between primary and secondary education outcomes. These studies collectively underscore the importance of assessment tools in predicting academic achievement across different educational levels.</w:t>
      </w:r>
    </w:p>
    <w:p w14:paraId="4F7258F9" w14:textId="258E2013" w:rsidR="00127177" w:rsidRPr="002944E9" w:rsidRDefault="000F72C4" w:rsidP="00A36470">
      <w:pPr>
        <w:spacing w:before="100" w:beforeAutospacing="1" w:after="100" w:afterAutospacing="1" w:line="276" w:lineRule="auto"/>
        <w:jc w:val="both"/>
        <w:rPr>
          <w:rFonts w:ascii="Times New Roman" w:eastAsia="Times New Roman" w:hAnsi="Times New Roman" w:cs="Times New Roman"/>
          <w:b/>
          <w:bCs/>
          <w:color w:val="252525"/>
          <w:sz w:val="24"/>
          <w:szCs w:val="24"/>
        </w:rPr>
      </w:pPr>
      <w:r w:rsidRPr="002944E9">
        <w:rPr>
          <w:rFonts w:ascii="Times New Roman" w:hAnsi="Times New Roman" w:cs="Times New Roman"/>
          <w:sz w:val="24"/>
          <w:szCs w:val="24"/>
        </w:rPr>
        <w:t xml:space="preserve">The study conducted by Benjamin and Habila (2020) investigated the </w:t>
      </w:r>
      <w:r w:rsidR="00FF1AC8" w:rsidRPr="002944E9">
        <w:rPr>
          <w:rFonts w:ascii="Times New Roman" w:hAnsi="Times New Roman" w:cs="Times New Roman"/>
          <w:sz w:val="24"/>
          <w:szCs w:val="24"/>
        </w:rPr>
        <w:t>PV</w:t>
      </w:r>
      <w:r w:rsidRPr="002944E9">
        <w:rPr>
          <w:rFonts w:ascii="Times New Roman" w:hAnsi="Times New Roman" w:cs="Times New Roman"/>
          <w:sz w:val="24"/>
          <w:szCs w:val="24"/>
        </w:rPr>
        <w:t xml:space="preserve"> of continuous assessment (CA) scores on students' performance in the Junior Secondary Certificate Examination (JSCE). The samples included 541 Nigerian students selected using multistage cluster sampling. Data were obtained through an inventory method. The findings showed a positive relationship between CA scores and JSCE performance in 2014/15 and 2016/2017, while it could not predict JSCE performance in 2015/2016 (Benjamin &amp; Habila, 2020).</w:t>
      </w:r>
    </w:p>
    <w:p w14:paraId="14C0AA51" w14:textId="28D70DFE" w:rsidR="00127177" w:rsidRPr="002944E9" w:rsidRDefault="000F72C4" w:rsidP="00A36470">
      <w:pPr>
        <w:spacing w:before="100" w:beforeAutospacing="1" w:after="100" w:afterAutospacing="1" w:line="276" w:lineRule="auto"/>
        <w:jc w:val="both"/>
        <w:rPr>
          <w:rFonts w:ascii="Times New Roman" w:eastAsia="Times New Roman" w:hAnsi="Times New Roman" w:cs="Times New Roman"/>
          <w:b/>
          <w:bCs/>
          <w:color w:val="252525"/>
          <w:sz w:val="24"/>
          <w:szCs w:val="24"/>
        </w:rPr>
      </w:pPr>
      <w:r w:rsidRPr="002944E9">
        <w:rPr>
          <w:rFonts w:ascii="Times New Roman" w:hAnsi="Times New Roman" w:cs="Times New Roman"/>
          <w:sz w:val="24"/>
          <w:szCs w:val="24"/>
        </w:rPr>
        <w:t>A study conducted by Kennet-Cohen et al. (201</w:t>
      </w:r>
      <w:r w:rsidR="00133ACE" w:rsidRPr="002944E9">
        <w:rPr>
          <w:rFonts w:ascii="Times New Roman" w:hAnsi="Times New Roman" w:cs="Times New Roman"/>
          <w:sz w:val="24"/>
          <w:szCs w:val="24"/>
        </w:rPr>
        <w:t>6</w:t>
      </w:r>
      <w:r w:rsidRPr="002944E9">
        <w:rPr>
          <w:rFonts w:ascii="Times New Roman" w:hAnsi="Times New Roman" w:cs="Times New Roman"/>
          <w:sz w:val="24"/>
          <w:szCs w:val="24"/>
        </w:rPr>
        <w:t xml:space="preserve">) in Israel found that a two-step selection process, consisting of cognitive and non-cognitive measures, is common in medical school admissions and has high predictive validity. The study used a composite of cognitive measures and a non-cognitive measure to predict academic performance in Year 1. The </w:t>
      </w:r>
      <w:r w:rsidR="00910114" w:rsidRPr="002944E9">
        <w:rPr>
          <w:rFonts w:ascii="Times New Roman" w:hAnsi="Times New Roman" w:cs="Times New Roman"/>
          <w:sz w:val="24"/>
          <w:szCs w:val="24"/>
        </w:rPr>
        <w:t>PV</w:t>
      </w:r>
      <w:r w:rsidRPr="002944E9">
        <w:rPr>
          <w:rFonts w:ascii="Times New Roman" w:hAnsi="Times New Roman" w:cs="Times New Roman"/>
          <w:sz w:val="24"/>
          <w:szCs w:val="24"/>
        </w:rPr>
        <w:t xml:space="preserve"> of the composite of cognitive measures </w:t>
      </w:r>
      <w:r w:rsidR="00A33C78" w:rsidRPr="002944E9">
        <w:rPr>
          <w:rFonts w:ascii="Times New Roman" w:hAnsi="Times New Roman" w:cs="Times New Roman"/>
          <w:sz w:val="24"/>
          <w:szCs w:val="24"/>
        </w:rPr>
        <w:t xml:space="preserve">concerning </w:t>
      </w:r>
      <w:r w:rsidRPr="002944E9">
        <w:rPr>
          <w:rFonts w:ascii="Times New Roman" w:hAnsi="Times New Roman" w:cs="Times New Roman"/>
          <w:sz w:val="24"/>
          <w:szCs w:val="24"/>
        </w:rPr>
        <w:t xml:space="preserve">Year 1 performance was high, resulting entirely from the predictive validity of the admission test (a standard measure of ability. The </w:t>
      </w:r>
      <w:r w:rsidR="00910114" w:rsidRPr="002944E9">
        <w:rPr>
          <w:rFonts w:ascii="Times New Roman" w:hAnsi="Times New Roman" w:cs="Times New Roman"/>
          <w:sz w:val="24"/>
          <w:szCs w:val="24"/>
        </w:rPr>
        <w:t>PV</w:t>
      </w:r>
      <w:r w:rsidRPr="002944E9">
        <w:rPr>
          <w:rFonts w:ascii="Times New Roman" w:hAnsi="Times New Roman" w:cs="Times New Roman"/>
          <w:sz w:val="24"/>
          <w:szCs w:val="24"/>
        </w:rPr>
        <w:t xml:space="preserve"> of the non-cognitive measure was moderate. The </w:t>
      </w:r>
      <w:r w:rsidR="00910114" w:rsidRPr="002944E9">
        <w:rPr>
          <w:rFonts w:ascii="Times New Roman" w:hAnsi="Times New Roman" w:cs="Times New Roman"/>
          <w:sz w:val="24"/>
          <w:szCs w:val="24"/>
        </w:rPr>
        <w:t>PV</w:t>
      </w:r>
      <w:r w:rsidRPr="002944E9">
        <w:rPr>
          <w:rFonts w:ascii="Times New Roman" w:hAnsi="Times New Roman" w:cs="Times New Roman"/>
          <w:sz w:val="24"/>
          <w:szCs w:val="24"/>
        </w:rPr>
        <w:t xml:space="preserve"> of </w:t>
      </w:r>
      <w:r w:rsidRPr="002944E9">
        <w:rPr>
          <w:rFonts w:ascii="Times New Roman" w:hAnsi="Times New Roman" w:cs="Times New Roman"/>
          <w:sz w:val="24"/>
          <w:szCs w:val="24"/>
        </w:rPr>
        <w:t>the process in its entirety was high, and its value was dependent on the weights given to the cognitive and non-cognitive measures (Kennet-Cohen et al., 201</w:t>
      </w:r>
      <w:r w:rsidR="00133ACE" w:rsidRPr="002944E9">
        <w:rPr>
          <w:rFonts w:ascii="Times New Roman" w:hAnsi="Times New Roman" w:cs="Times New Roman"/>
          <w:sz w:val="24"/>
          <w:szCs w:val="24"/>
        </w:rPr>
        <w:t>6</w:t>
      </w:r>
      <w:r w:rsidRPr="002944E9">
        <w:rPr>
          <w:rFonts w:ascii="Times New Roman" w:hAnsi="Times New Roman" w:cs="Times New Roman"/>
          <w:sz w:val="24"/>
          <w:szCs w:val="24"/>
        </w:rPr>
        <w:t>).</w:t>
      </w:r>
    </w:p>
    <w:p w14:paraId="288259A2" w14:textId="5664624C" w:rsidR="00127177" w:rsidRPr="002944E9" w:rsidRDefault="000F72C4" w:rsidP="00A36470">
      <w:pPr>
        <w:spacing w:before="100" w:beforeAutospacing="1" w:after="100" w:afterAutospacing="1" w:line="276" w:lineRule="auto"/>
        <w:jc w:val="both"/>
        <w:rPr>
          <w:rFonts w:ascii="Times New Roman" w:eastAsia="Times New Roman" w:hAnsi="Times New Roman" w:cs="Times New Roman"/>
          <w:b/>
          <w:bCs/>
          <w:color w:val="252525"/>
          <w:sz w:val="24"/>
          <w:szCs w:val="24"/>
        </w:rPr>
      </w:pPr>
      <w:r w:rsidRPr="002944E9">
        <w:rPr>
          <w:rFonts w:ascii="Times New Roman" w:hAnsi="Times New Roman" w:cs="Times New Roman"/>
          <w:sz w:val="24"/>
          <w:szCs w:val="24"/>
        </w:rPr>
        <w:t xml:space="preserve">According to Alavi (2012), </w:t>
      </w:r>
      <w:r w:rsidR="00A33C78" w:rsidRPr="002944E9">
        <w:rPr>
          <w:rFonts w:ascii="Times New Roman" w:hAnsi="Times New Roman" w:cs="Times New Roman"/>
          <w:sz w:val="24"/>
          <w:szCs w:val="24"/>
        </w:rPr>
        <w:t>a significant relationship exists</w:t>
      </w:r>
      <w:r w:rsidRPr="002944E9">
        <w:rPr>
          <w:rFonts w:ascii="Times New Roman" w:hAnsi="Times New Roman" w:cs="Times New Roman"/>
          <w:sz w:val="24"/>
          <w:szCs w:val="24"/>
        </w:rPr>
        <w:t xml:space="preserve"> between students' English scores on the Iranian National University Entrance English Exam (INUEEE) and their high school and pre-university English scores. Despite the significant correlation coefficients between the variables, the study was unable to predict </w:t>
      </w:r>
      <w:r w:rsidR="00A33C78" w:rsidRPr="002944E9">
        <w:rPr>
          <w:rFonts w:ascii="Times New Roman" w:hAnsi="Times New Roman" w:cs="Times New Roman"/>
          <w:sz w:val="24"/>
          <w:szCs w:val="24"/>
        </w:rPr>
        <w:t>INURE</w:t>
      </w:r>
      <w:r w:rsidRPr="002944E9">
        <w:rPr>
          <w:rFonts w:ascii="Times New Roman" w:hAnsi="Times New Roman" w:cs="Times New Roman"/>
          <w:sz w:val="24"/>
          <w:szCs w:val="24"/>
        </w:rPr>
        <w:t xml:space="preserve"> scores using these sets of high school and pre-university scores. Therefore, it can be concluded that there is no guarantee that pupils who score </w:t>
      </w:r>
      <w:r w:rsidRPr="004A17D3">
        <w:rPr>
          <w:rFonts w:ascii="Times New Roman" w:hAnsi="Times New Roman" w:cs="Times New Roman"/>
          <w:sz w:val="24"/>
          <w:szCs w:val="24"/>
        </w:rPr>
        <w:t>high</w:t>
      </w:r>
      <w:r w:rsidR="00E75210" w:rsidRPr="004A17D3">
        <w:rPr>
          <w:rFonts w:ascii="Times New Roman" w:hAnsi="Times New Roman" w:cs="Times New Roman"/>
          <w:sz w:val="24"/>
          <w:szCs w:val="24"/>
        </w:rPr>
        <w:t xml:space="preserve"> </w:t>
      </w:r>
      <w:r w:rsidRPr="004A17D3">
        <w:rPr>
          <w:rFonts w:ascii="Times New Roman" w:hAnsi="Times New Roman" w:cs="Times New Roman"/>
          <w:sz w:val="24"/>
          <w:szCs w:val="24"/>
        </w:rPr>
        <w:t>on pre-university English examinations and high school English tests will also score hig</w:t>
      </w:r>
      <w:r w:rsidR="00E75210" w:rsidRPr="004A17D3">
        <w:rPr>
          <w:rFonts w:ascii="Times New Roman" w:hAnsi="Times New Roman" w:cs="Times New Roman"/>
          <w:sz w:val="24"/>
          <w:szCs w:val="24"/>
        </w:rPr>
        <w:t xml:space="preserve">h </w:t>
      </w:r>
      <w:r w:rsidRPr="004A17D3">
        <w:rPr>
          <w:rFonts w:ascii="Times New Roman" w:hAnsi="Times New Roman" w:cs="Times New Roman"/>
          <w:sz w:val="24"/>
          <w:szCs w:val="24"/>
        </w:rPr>
        <w:t>on</w:t>
      </w:r>
      <w:r w:rsidRPr="002944E9">
        <w:rPr>
          <w:rFonts w:ascii="Times New Roman" w:hAnsi="Times New Roman" w:cs="Times New Roman"/>
          <w:sz w:val="24"/>
          <w:szCs w:val="24"/>
        </w:rPr>
        <w:t xml:space="preserve"> the INUEEE (Alavi, 2012).</w:t>
      </w:r>
    </w:p>
    <w:p w14:paraId="661D8CCA" w14:textId="41D79497" w:rsidR="00127177" w:rsidRPr="002944E9" w:rsidRDefault="00AA2232" w:rsidP="00A36470">
      <w:pPr>
        <w:spacing w:before="100" w:beforeAutospacing="1" w:after="100" w:afterAutospacing="1" w:line="276" w:lineRule="auto"/>
        <w:jc w:val="both"/>
        <w:rPr>
          <w:rFonts w:ascii="Times New Roman" w:eastAsia="Times New Roman" w:hAnsi="Times New Roman" w:cs="Times New Roman"/>
          <w:b/>
          <w:bCs/>
          <w:color w:val="252525"/>
          <w:sz w:val="24"/>
          <w:szCs w:val="24"/>
        </w:rPr>
      </w:pPr>
      <w:r w:rsidRPr="002944E9">
        <w:rPr>
          <w:rFonts w:ascii="Times New Roman" w:hAnsi="Times New Roman" w:cs="Times New Roman"/>
          <w:sz w:val="24"/>
          <w:szCs w:val="24"/>
        </w:rPr>
        <w:t xml:space="preserve"> </w:t>
      </w:r>
      <w:r w:rsidR="000F72C4" w:rsidRPr="002944E9">
        <w:rPr>
          <w:rFonts w:ascii="Times New Roman" w:hAnsi="Times New Roman" w:cs="Times New Roman"/>
          <w:sz w:val="24"/>
          <w:szCs w:val="24"/>
        </w:rPr>
        <w:t xml:space="preserve">In another study, Kartika and Suranto (2018) explored the relationship between school-based </w:t>
      </w:r>
      <w:r w:rsidR="001A4F52" w:rsidRPr="002944E9">
        <w:rPr>
          <w:rFonts w:ascii="Times New Roman" w:hAnsi="Times New Roman" w:cs="Times New Roman"/>
          <w:sz w:val="24"/>
          <w:szCs w:val="24"/>
        </w:rPr>
        <w:t>tests</w:t>
      </w:r>
      <w:r w:rsidR="000F72C4" w:rsidRPr="002944E9">
        <w:rPr>
          <w:rFonts w:ascii="Times New Roman" w:hAnsi="Times New Roman" w:cs="Times New Roman"/>
          <w:sz w:val="24"/>
          <w:szCs w:val="24"/>
        </w:rPr>
        <w:t xml:space="preserve"> and national-based test results in a cross-sectional research design. Data were collected from 1,446 students from six randomly selected high schools. They found that school results could not be used as good predictors of national examination results (Kartika &amp; Suranto, 2018).</w:t>
      </w:r>
    </w:p>
    <w:bookmarkEnd w:id="6"/>
    <w:p w14:paraId="44DD67D7" w14:textId="03D1FE81" w:rsidR="00AA2E4D" w:rsidRPr="004A64A7" w:rsidRDefault="00AA2E4D" w:rsidP="00A36470">
      <w:pPr>
        <w:pStyle w:val="NormalWeb"/>
        <w:spacing w:line="276" w:lineRule="auto"/>
        <w:jc w:val="both"/>
      </w:pPr>
      <w:r w:rsidRPr="009B0034">
        <w:t xml:space="preserve">There is a lack of </w:t>
      </w:r>
      <w:r w:rsidR="003553C5" w:rsidRPr="009B0034">
        <w:t>wide-ranging</w:t>
      </w:r>
      <w:r w:rsidRPr="009B0034">
        <w:t xml:space="preserve"> research on the PV of IOCA on NOCA, and ROCA, and NOCA on ROCA, particularly in the Amhara Regional State. While there are numerous studies on this topic in primary, secondary, and higher education globally, such research</w:t>
      </w:r>
      <w:r w:rsidR="003F6B58" w:rsidRPr="009B0034">
        <w:t>es</w:t>
      </w:r>
      <w:r w:rsidRPr="009B0034">
        <w:t xml:space="preserve"> </w:t>
      </w:r>
      <w:r w:rsidR="003F6B58" w:rsidRPr="009B0034">
        <w:t>are</w:t>
      </w:r>
      <w:r w:rsidRPr="009B0034">
        <w:t xml:space="preserve"> scarce</w:t>
      </w:r>
      <w:r w:rsidR="003F6B58" w:rsidRPr="009B0034">
        <w:t xml:space="preserve"> on the issues</w:t>
      </w:r>
      <w:r w:rsidRPr="009B0034">
        <w:t xml:space="preserve"> </w:t>
      </w:r>
      <w:r w:rsidR="003F6B58" w:rsidRPr="009B0034">
        <w:t xml:space="preserve">of </w:t>
      </w:r>
      <w:r w:rsidRPr="009B0034">
        <w:t xml:space="preserve">CBA </w:t>
      </w:r>
      <w:r w:rsidR="003F6B58" w:rsidRPr="009B0034">
        <w:t xml:space="preserve">in </w:t>
      </w:r>
      <w:r w:rsidRPr="009B0034">
        <w:t>Ethiopia. Although a report by</w:t>
      </w:r>
      <w:r>
        <w:t xml:space="preserve"> MOE's (2008) highlighted the lack of attention to PV of assessment in TVET colleges. This report does not show the current and recent state of the PV of CBA in the region. Therefore, to address the issue, this study conducted at private TVET colleges in the Amhara Regional State, focusing on the present PV of CBA. This investigation is necessary because, among other </w:t>
      </w:r>
      <w:r>
        <w:lastRenderedPageBreak/>
        <w:t xml:space="preserve">things, the validity of these assessments is closely tied to the standard of educational judgment. As a result, the researchers believe that the </w:t>
      </w:r>
      <w:r w:rsidR="00043870">
        <w:t xml:space="preserve">issue of   </w:t>
      </w:r>
      <w:r w:rsidR="00043870" w:rsidRPr="00BF5F14">
        <w:t>the predictive validity of CBA assessments was</w:t>
      </w:r>
      <w:r w:rsidRPr="00BF5F14">
        <w:t xml:space="preserve"> not studied in previous research based on the knowledge available </w:t>
      </w:r>
      <w:r w:rsidR="00043870">
        <w:t>in the area</w:t>
      </w:r>
      <w:r w:rsidR="00043870" w:rsidRPr="009B0034">
        <w:t xml:space="preserve">. </w:t>
      </w:r>
      <w:r w:rsidRPr="009B0034">
        <w:t>This motivated the researchers</w:t>
      </w:r>
      <w:r>
        <w:t xml:space="preserve"> to </w:t>
      </w:r>
      <w:r w:rsidR="005C0CDB">
        <w:t>appraise</w:t>
      </w:r>
      <w:r>
        <w:t xml:space="preserve"> the PV of IOCA on NOCA, and ROCA, and NOCA on ROCA in Amhara private colleges, focusing on the South Gonder Administrative Zone. Moreover, it emphasizes the factors affecting the PV of IOCA and NOCA. </w:t>
      </w:r>
      <w:r>
        <w:rPr>
          <w:rFonts w:eastAsia="Times New Roman"/>
        </w:rPr>
        <w:t xml:space="preserve">The findings obtained from this study will </w:t>
      </w:r>
      <w:r w:rsidR="00043870">
        <w:rPr>
          <w:rFonts w:eastAsia="Times New Roman"/>
        </w:rPr>
        <w:t>benefit</w:t>
      </w:r>
      <w:r>
        <w:rPr>
          <w:rFonts w:eastAsia="Times New Roman"/>
        </w:rPr>
        <w:t xml:space="preserve"> students, teachers, assessors, colleges, the Amhara Occupational Competence Assessment and Certification Agency (AOCACA), the Federal TVET Agency (FTA), and the Amhara Labor and Training Bureau (ALTB). It highlights the need for special attention to the quality of assessments in order to enhance students' competence and improve the predictive power of assessments </w:t>
      </w:r>
      <w:r w:rsidR="00043870">
        <w:rPr>
          <w:rFonts w:eastAsia="Times New Roman"/>
        </w:rPr>
        <w:t>of</w:t>
      </w:r>
      <w:r>
        <w:rPr>
          <w:rFonts w:eastAsia="Times New Roman"/>
        </w:rPr>
        <w:t xml:space="preserve"> competent students, as well as those not yet ready to compete in the global market.</w:t>
      </w:r>
      <w:r w:rsidR="004A17D3" w:rsidRPr="004A17D3">
        <w:t xml:space="preserve"> </w:t>
      </w:r>
      <w:r w:rsidR="004A17D3" w:rsidRPr="006C5302">
        <w:t>.</w:t>
      </w:r>
      <w:r w:rsidR="004A17D3">
        <w:t xml:space="preserve"> Therefore, the main objective of the study is to </w:t>
      </w:r>
      <w:r w:rsidR="004A64A7" w:rsidRPr="009B0034">
        <w:rPr>
          <w:iCs/>
        </w:rPr>
        <w:t xml:space="preserve">examine </w:t>
      </w:r>
      <w:r w:rsidR="004A17D3" w:rsidRPr="009B0034">
        <w:rPr>
          <w:iCs/>
        </w:rPr>
        <w:t>the predictive validity of Institutional Occupational Competency Assessment (IOCA) on National Occupational Competency Assessment (NOCA) and Recruitment Occupational Competency Assessment (ROCA), as well as the validity of National Occupational Competency Assessment (NOCA) on Recruitment Occupational Competency Assessment (ROCA) within the context of CBA in private TVET colleges in South Gonder Zone, Ethiopia</w:t>
      </w:r>
      <w:r w:rsidR="00796B25" w:rsidRPr="009B0034">
        <w:rPr>
          <w:iCs/>
        </w:rPr>
        <w:t>. More specifically, this stud</w:t>
      </w:r>
      <w:r w:rsidR="00796B25" w:rsidRPr="00796B25">
        <w:rPr>
          <w:iCs/>
        </w:rPr>
        <w:t>y</w:t>
      </w:r>
      <w:r w:rsidR="00796B25">
        <w:rPr>
          <w:iCs/>
        </w:rPr>
        <w:t xml:space="preserve"> </w:t>
      </w:r>
      <w:r w:rsidR="00796B25" w:rsidRPr="00796B25">
        <w:rPr>
          <w:iCs/>
        </w:rPr>
        <w:t>aims to answer the following basic</w:t>
      </w:r>
      <w:r w:rsidR="00796B25">
        <w:rPr>
          <w:iCs/>
        </w:rPr>
        <w:t xml:space="preserve"> </w:t>
      </w:r>
      <w:r w:rsidR="009D046A" w:rsidRPr="00E811FB">
        <w:rPr>
          <w:noProof/>
          <w:highlight w:val="yellow"/>
        </w:rPr>
        <mc:AlternateContent>
          <mc:Choice Requires="wps">
            <w:drawing>
              <wp:anchor distT="0" distB="0" distL="114300" distR="114300" simplePos="0" relativeHeight="251654656" behindDoc="0" locked="0" layoutInCell="1" allowOverlap="1" wp14:anchorId="0DE4A7B8" wp14:editId="2252CDF7">
                <wp:simplePos x="0" y="0"/>
                <wp:positionH relativeFrom="column">
                  <wp:posOffset>2848401</wp:posOffset>
                </wp:positionH>
                <wp:positionV relativeFrom="paragraph">
                  <wp:posOffset>7256572</wp:posOffset>
                </wp:positionV>
                <wp:extent cx="1724025" cy="409575"/>
                <wp:effectExtent l="0" t="0" r="28575" b="28575"/>
                <wp:wrapNone/>
                <wp:docPr id="404499291" name="Rectangle 15"/>
                <wp:cNvGraphicFramePr/>
                <a:graphic xmlns:a="http://schemas.openxmlformats.org/drawingml/2006/main">
                  <a:graphicData uri="http://schemas.microsoft.com/office/word/2010/wordprocessingShape">
                    <wps:wsp>
                      <wps:cNvSpPr/>
                      <wps:spPr>
                        <a:xfrm>
                          <a:off x="0" y="0"/>
                          <a:ext cx="1724025" cy="409575"/>
                        </a:xfrm>
                        <a:prstGeom prst="rect">
                          <a:avLst/>
                        </a:prstGeom>
                        <a:solidFill>
                          <a:sysClr val="window" lastClr="FFFFFF"/>
                        </a:solidFill>
                        <a:ln w="25400" cap="flat" cmpd="sng" algn="ctr">
                          <a:solidFill>
                            <a:srgbClr val="F79646"/>
                          </a:solidFill>
                          <a:prstDash val="solid"/>
                        </a:ln>
                        <a:effectLst/>
                      </wps:spPr>
                      <wps:txbx>
                        <w:txbxContent>
                          <w:p w14:paraId="615B5694" w14:textId="77777777" w:rsidR="00540922" w:rsidRPr="00BE1E86" w:rsidRDefault="00540922" w:rsidP="008B0B98">
                            <w:pPr>
                              <w:jc w:val="center"/>
                              <w:rPr>
                                <w:rFonts w:ascii="Times New Roman" w:hAnsi="Times New Roman" w:cs="Times New Roman"/>
                                <w:b/>
                                <w:bCs/>
                              </w:rPr>
                            </w:pPr>
                            <w:r w:rsidRPr="00BE1E86">
                              <w:rPr>
                                <w:rFonts w:ascii="Times New Roman" w:hAnsi="Times New Roman" w:cs="Times New Roman"/>
                                <w:b/>
                                <w:bCs/>
                              </w:rPr>
                              <w:t>NOCA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DE4A7B8" id="Rectangle 15" o:spid="_x0000_s1026" style="position:absolute;left:0;text-align:left;margin-left:224.3pt;margin-top:571.4pt;width:135.75pt;height:32.25pt;z-index:251654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" fillcolor="window" strokecolor="#f79646" strokeweight="2pt">
                <v:textbox>
                  <w:txbxContent>
                    <w:p w14:paraId="615B5694" w14:textId="77777777" w:rsidR="00540922" w:rsidRPr="00BE1E86" w:rsidRDefault="00540922" w:rsidP="008B0B98">
                      <w:pPr>
                        <w:jc w:val="center"/>
                        <w:rPr>
                          <w:rFonts w:ascii="Times New Roman" w:hAnsi="Times New Roman" w:cs="Times New Roman"/>
                          <w:b/>
                          <w:bCs/>
                        </w:rPr>
                      </w:pPr>
                      <w:r w:rsidRPr="00BE1E86">
                        <w:rPr>
                          <w:rFonts w:ascii="Times New Roman" w:hAnsi="Times New Roman" w:cs="Times New Roman"/>
                          <w:b/>
                          <w:bCs/>
                        </w:rPr>
                        <w:t>NOCA</w:t>
                      </w:r>
                    </w:p>
                  </w:txbxContent>
                </v:textbox>
              </v:rect>
            </w:pict>
          </mc:Fallback>
        </mc:AlternateContent>
      </w:r>
      <w:r w:rsidR="00796B25" w:rsidRPr="00796B25">
        <w:rPr>
          <w:iCs/>
        </w:rPr>
        <w:t>research questions</w:t>
      </w:r>
    </w:p>
    <w:p w14:paraId="6E32BC87" w14:textId="7E0BA16D" w:rsidR="00D17AB1" w:rsidRPr="002944E9" w:rsidRDefault="00D17AB1" w:rsidP="00A36470">
      <w:pPr>
        <w:pStyle w:val="ListParagraph"/>
        <w:numPr>
          <w:ilvl w:val="0"/>
          <w:numId w:val="8"/>
        </w:numPr>
        <w:spacing w:line="276" w:lineRule="auto"/>
        <w:jc w:val="both"/>
        <w:rPr>
          <w:rFonts w:ascii="Times New Roman" w:hAnsi="Times New Roman" w:cs="Times New Roman"/>
          <w:sz w:val="24"/>
          <w:szCs w:val="24"/>
        </w:rPr>
      </w:pPr>
      <w:r w:rsidRPr="002944E9">
        <w:rPr>
          <w:rFonts w:ascii="Times New Roman" w:hAnsi="Times New Roman" w:cs="Times New Roman"/>
          <w:sz w:val="24"/>
          <w:szCs w:val="24"/>
        </w:rPr>
        <w:t>What is</w:t>
      </w:r>
      <w:r w:rsidR="00F60813">
        <w:rPr>
          <w:rFonts w:ascii="Times New Roman" w:hAnsi="Times New Roman" w:cs="Times New Roman"/>
          <w:sz w:val="24"/>
          <w:szCs w:val="24"/>
        </w:rPr>
        <w:t xml:space="preserve"> </w:t>
      </w:r>
      <w:r w:rsidR="006C5302">
        <w:rPr>
          <w:rFonts w:ascii="Times New Roman" w:hAnsi="Times New Roman" w:cs="Times New Roman"/>
          <w:sz w:val="24"/>
          <w:szCs w:val="24"/>
        </w:rPr>
        <w:t xml:space="preserve">the </w:t>
      </w:r>
      <w:r w:rsidR="006C5302" w:rsidRPr="002944E9">
        <w:rPr>
          <w:rFonts w:ascii="Times New Roman" w:hAnsi="Times New Roman" w:cs="Times New Roman"/>
          <w:sz w:val="24"/>
          <w:szCs w:val="24"/>
        </w:rPr>
        <w:t>private</w:t>
      </w:r>
      <w:r w:rsidRPr="002944E9">
        <w:rPr>
          <w:rFonts w:ascii="Times New Roman" w:hAnsi="Times New Roman" w:cs="Times New Roman"/>
          <w:sz w:val="24"/>
          <w:szCs w:val="24"/>
        </w:rPr>
        <w:t xml:space="preserve"> TVET college students’ level of competence in IOCA, NOCA</w:t>
      </w:r>
      <w:r w:rsidR="00333487">
        <w:rPr>
          <w:rFonts w:ascii="Times New Roman" w:hAnsi="Times New Roman" w:cs="Times New Roman"/>
          <w:sz w:val="24"/>
          <w:szCs w:val="24"/>
        </w:rPr>
        <w:t>,</w:t>
      </w:r>
      <w:r w:rsidRPr="002944E9">
        <w:rPr>
          <w:rFonts w:ascii="Times New Roman" w:hAnsi="Times New Roman" w:cs="Times New Roman"/>
          <w:sz w:val="24"/>
          <w:szCs w:val="24"/>
        </w:rPr>
        <w:t xml:space="preserve"> and ROCA</w:t>
      </w:r>
      <w:r w:rsidR="006C5302" w:rsidRPr="002944E9">
        <w:rPr>
          <w:rFonts w:ascii="Times New Roman" w:eastAsia="Times New Roman" w:hAnsi="Times New Roman" w:cs="Times New Roman"/>
          <w:color w:val="000000"/>
          <w:sz w:val="24"/>
          <w:szCs w:val="24"/>
        </w:rPr>
        <w:t xml:space="preserve">? </w:t>
      </w:r>
    </w:p>
    <w:p w14:paraId="1456B83F" w14:textId="0F9EA237" w:rsidR="00D17AB1" w:rsidRPr="002944E9" w:rsidRDefault="00D17AB1" w:rsidP="00A36470">
      <w:pPr>
        <w:pStyle w:val="ListParagraph"/>
        <w:numPr>
          <w:ilvl w:val="0"/>
          <w:numId w:val="8"/>
        </w:numPr>
        <w:spacing w:line="276" w:lineRule="auto"/>
        <w:jc w:val="both"/>
        <w:rPr>
          <w:rFonts w:ascii="Times New Roman" w:hAnsi="Times New Roman" w:cs="Times New Roman"/>
          <w:sz w:val="24"/>
          <w:szCs w:val="24"/>
        </w:rPr>
      </w:pPr>
      <w:r w:rsidRPr="002944E9">
        <w:rPr>
          <w:rFonts w:ascii="Times New Roman" w:eastAsia="Times New Roman" w:hAnsi="Times New Roman" w:cs="Times New Roman"/>
          <w:color w:val="000000"/>
          <w:sz w:val="24"/>
          <w:szCs w:val="24"/>
        </w:rPr>
        <w:t xml:space="preserve">Is there a significant difference in the mean scores of students in IOCA, NOCA, and </w:t>
      </w:r>
      <w:r w:rsidR="00EA05D4" w:rsidRPr="002944E9">
        <w:rPr>
          <w:rFonts w:ascii="Times New Roman" w:eastAsia="Times New Roman" w:hAnsi="Times New Roman" w:cs="Times New Roman"/>
          <w:color w:val="000000"/>
          <w:sz w:val="24"/>
          <w:szCs w:val="24"/>
        </w:rPr>
        <w:t>ROCA</w:t>
      </w:r>
      <w:bookmarkStart w:id="7" w:name="_Hlk181440413"/>
      <w:r w:rsidR="00EA05D4" w:rsidRPr="002944E9">
        <w:rPr>
          <w:rFonts w:ascii="Times New Roman" w:eastAsia="Times New Roman" w:hAnsi="Times New Roman" w:cs="Times New Roman"/>
          <w:color w:val="000000"/>
          <w:sz w:val="24"/>
          <w:szCs w:val="24"/>
        </w:rPr>
        <w:t xml:space="preserve">? </w:t>
      </w:r>
      <w:bookmarkEnd w:id="7"/>
    </w:p>
    <w:p w14:paraId="1F9C64EB" w14:textId="792D26C5" w:rsidR="008B450F" w:rsidRPr="002944E9" w:rsidRDefault="008B450F" w:rsidP="00A36470">
      <w:pPr>
        <w:pStyle w:val="ListParagraph"/>
        <w:numPr>
          <w:ilvl w:val="0"/>
          <w:numId w:val="8"/>
        </w:numPr>
        <w:spacing w:line="276" w:lineRule="auto"/>
        <w:jc w:val="both"/>
        <w:rPr>
          <w:rFonts w:ascii="Times New Roman" w:hAnsi="Times New Roman" w:cs="Times New Roman"/>
          <w:sz w:val="24"/>
          <w:szCs w:val="24"/>
        </w:rPr>
      </w:pPr>
      <w:r w:rsidRPr="002944E9">
        <w:rPr>
          <w:rFonts w:ascii="Times New Roman" w:hAnsi="Times New Roman" w:cs="Times New Roman"/>
          <w:sz w:val="24"/>
          <w:szCs w:val="24"/>
        </w:rPr>
        <w:t xml:space="preserve">Is there a significant correlation between </w:t>
      </w:r>
      <w:r w:rsidRPr="002944E9">
        <w:rPr>
          <w:rFonts w:ascii="Times New Roman" w:eastAsia="Times New Roman" w:hAnsi="Times New Roman" w:cs="Times New Roman"/>
          <w:color w:val="000000"/>
          <w:sz w:val="24"/>
          <w:szCs w:val="24"/>
        </w:rPr>
        <w:t>IOCA on NOCA, IOCA on ROCA, and NOCA on ROCA?</w:t>
      </w:r>
    </w:p>
    <w:p w14:paraId="3B6E68BA" w14:textId="21BE6103" w:rsidR="00D17AB1" w:rsidRPr="002944E9" w:rsidRDefault="00D17AB1" w:rsidP="00A36470">
      <w:pPr>
        <w:pStyle w:val="ListParagraph"/>
        <w:numPr>
          <w:ilvl w:val="0"/>
          <w:numId w:val="8"/>
        </w:numPr>
        <w:spacing w:line="276" w:lineRule="auto"/>
        <w:jc w:val="both"/>
        <w:rPr>
          <w:rFonts w:ascii="Times New Roman" w:hAnsi="Times New Roman" w:cs="Times New Roman"/>
          <w:sz w:val="24"/>
          <w:szCs w:val="24"/>
        </w:rPr>
      </w:pPr>
      <w:r w:rsidRPr="002944E9">
        <w:rPr>
          <w:rFonts w:ascii="Times New Roman" w:eastAsia="Times New Roman" w:hAnsi="Times New Roman" w:cs="Times New Roman"/>
          <w:color w:val="000000"/>
          <w:sz w:val="24"/>
          <w:szCs w:val="24"/>
        </w:rPr>
        <w:t>What is the predictive power of IOCA on NOCA, IOCA on ROCA, and NOCA on ROCA?</w:t>
      </w:r>
      <w:bookmarkStart w:id="8" w:name="_Hlk156447973"/>
    </w:p>
    <w:p w14:paraId="543557AA" w14:textId="0CE0BEA6" w:rsidR="00067B03" w:rsidRPr="0029666D" w:rsidRDefault="00D17AB1" w:rsidP="00A36470">
      <w:pPr>
        <w:pStyle w:val="ListParagraph"/>
        <w:numPr>
          <w:ilvl w:val="0"/>
          <w:numId w:val="8"/>
        </w:numPr>
        <w:spacing w:line="276" w:lineRule="auto"/>
        <w:jc w:val="both"/>
        <w:rPr>
          <w:rFonts w:ascii="Times New Roman" w:hAnsi="Times New Roman" w:cs="Times New Roman"/>
          <w:sz w:val="24"/>
          <w:szCs w:val="24"/>
        </w:rPr>
      </w:pPr>
      <w:r w:rsidRPr="002944E9">
        <w:rPr>
          <w:rFonts w:ascii="Times New Roman" w:eastAsia="Times New Roman" w:hAnsi="Times New Roman" w:cs="Times New Roman"/>
          <w:color w:val="000000"/>
          <w:sz w:val="24"/>
          <w:szCs w:val="24"/>
        </w:rPr>
        <w:t>What factors influence the predictive power of CBA in private TVET colleges?</w:t>
      </w:r>
      <w:bookmarkEnd w:id="8"/>
    </w:p>
    <w:p w14:paraId="09CD8AF5" w14:textId="77777777" w:rsidR="00007F28" w:rsidRPr="009B0034" w:rsidRDefault="00007F28" w:rsidP="00A36470">
      <w:pPr>
        <w:spacing w:after="0" w:line="276" w:lineRule="auto"/>
        <w:ind w:firstLine="432"/>
        <w:jc w:val="both"/>
        <w:rPr>
          <w:rFonts w:ascii="Times New Roman" w:hAnsi="Times New Roman" w:cs="Times New Roman"/>
          <w:b/>
          <w:bCs/>
          <w:sz w:val="24"/>
          <w:szCs w:val="24"/>
        </w:rPr>
      </w:pPr>
      <w:r w:rsidRPr="009B0034">
        <w:rPr>
          <w:rFonts w:ascii="Times New Roman" w:hAnsi="Times New Roman" w:cs="Times New Roman"/>
          <w:b/>
          <w:bCs/>
          <w:sz w:val="24"/>
          <w:szCs w:val="24"/>
        </w:rPr>
        <w:t xml:space="preserve">Conceptual   Frame work </w:t>
      </w:r>
    </w:p>
    <w:p w14:paraId="336F793B" w14:textId="27BEA867" w:rsidR="008B0B98" w:rsidRPr="009B0034" w:rsidRDefault="008B0B98" w:rsidP="00A36470">
      <w:pPr>
        <w:spacing w:after="0" w:line="276" w:lineRule="auto"/>
        <w:jc w:val="both"/>
        <w:rPr>
          <w:rFonts w:ascii="Times New Roman" w:hAnsi="Times New Roman" w:cs="Times New Roman"/>
          <w:bCs/>
          <w:sz w:val="24"/>
          <w:szCs w:val="24"/>
        </w:rPr>
      </w:pPr>
      <w:r w:rsidRPr="009B0034">
        <w:rPr>
          <w:rFonts w:ascii="Times New Roman" w:hAnsi="Times New Roman" w:cs="Times New Roman"/>
          <w:noProof/>
          <w:sz w:val="24"/>
          <w:szCs w:val="24"/>
        </w:rPr>
        <w:drawing>
          <wp:anchor distT="0" distB="0" distL="114300" distR="114300" simplePos="0" relativeHeight="251638272" behindDoc="0" locked="0" layoutInCell="1" allowOverlap="1" wp14:anchorId="35704EE4" wp14:editId="308F5B0B">
            <wp:simplePos x="0" y="0"/>
            <wp:positionH relativeFrom="column">
              <wp:posOffset>8763030</wp:posOffset>
            </wp:positionH>
            <wp:positionV relativeFrom="paragraph">
              <wp:posOffset>874500</wp:posOffset>
            </wp:positionV>
            <wp:extent cx="360" cy="360"/>
            <wp:effectExtent l="0" t="0" r="0" b="0"/>
            <wp:wrapNone/>
            <wp:docPr id="1" name="Ink 2"/>
            <wp:cNvGraphicFramePr/>
            <a:graphic xmlns:a="http://schemas.openxmlformats.org/drawingml/2006/main">
              <a:graphicData uri="http://schemas.openxmlformats.org/drawingml/2006/picture">
                <pic:pic xmlns:pic="http://schemas.openxmlformats.org/drawingml/2006/picture">
                  <pic:nvPicPr>
                    <pic:cNvPr id="734497678" name="Ink 2"/>
                    <pic:cNvPicPr/>
                  </pic:nvPicPr>
                  <pic:blipFill>
                    <a:blip r:embed="rId14"/>
                    <a:stretch>
                      <a:fillRect/>
                    </a:stretch>
                  </pic:blipFill>
                  <pic:spPr>
                    <a:xfrm>
                      <a:off x="0" y="0"/>
                      <a:ext cx="18000" cy="108000"/>
                    </a:xfrm>
                    <a:prstGeom prst="rect">
                      <a:avLst/>
                    </a:prstGeom>
                  </pic:spPr>
                </pic:pic>
              </a:graphicData>
            </a:graphic>
          </wp:anchor>
        </w:drawing>
      </w:r>
      <w:r w:rsidRPr="009B0034">
        <w:rPr>
          <w:rFonts w:ascii="Times New Roman" w:hAnsi="Times New Roman" w:cs="Times New Roman"/>
          <w:sz w:val="24"/>
          <w:szCs w:val="24"/>
        </w:rPr>
        <w:t xml:space="preserve">According to Kinyua and </w:t>
      </w:r>
      <w:proofErr w:type="spellStart"/>
      <w:r w:rsidRPr="009B0034">
        <w:rPr>
          <w:rFonts w:ascii="Times New Roman" w:hAnsi="Times New Roman" w:cs="Times New Roman"/>
          <w:sz w:val="24"/>
          <w:szCs w:val="24"/>
        </w:rPr>
        <w:t>Okunya</w:t>
      </w:r>
      <w:proofErr w:type="spellEnd"/>
      <w:r w:rsidRPr="009B0034">
        <w:rPr>
          <w:rFonts w:ascii="Times New Roman" w:hAnsi="Times New Roman" w:cs="Times New Roman"/>
          <w:sz w:val="24"/>
          <w:szCs w:val="24"/>
        </w:rPr>
        <w:t xml:space="preserve"> (2014), the reliability and validity of teacher-made tests in Kenya are influenced by several variables, including the experience of the teachers, their training in test design and analysis, their level of education, their use of Bloom's taxonomy, their moderation, and the duration of the tests. Their study indicated that experienced teachers who had prior testing training and incorporated a number of these criteria into their test development tended to create tests with higher validity and reliability. It was determined that tests created by teachers are typically legitimate and dependable (Kinyua &amp; </w:t>
      </w:r>
      <w:proofErr w:type="spellStart"/>
      <w:r w:rsidRPr="009B0034">
        <w:rPr>
          <w:rFonts w:ascii="Times New Roman" w:hAnsi="Times New Roman" w:cs="Times New Roman"/>
          <w:sz w:val="24"/>
          <w:szCs w:val="24"/>
        </w:rPr>
        <w:t>Okunya</w:t>
      </w:r>
      <w:proofErr w:type="spellEnd"/>
      <w:r w:rsidRPr="009B0034">
        <w:rPr>
          <w:rFonts w:ascii="Times New Roman" w:hAnsi="Times New Roman" w:cs="Times New Roman"/>
          <w:sz w:val="24"/>
          <w:szCs w:val="24"/>
        </w:rPr>
        <w:t xml:space="preserve">, 2014). Base on this the following </w:t>
      </w:r>
      <w:r w:rsidRPr="009B0034">
        <w:rPr>
          <w:rFonts w:ascii="Times New Roman" w:hAnsi="Times New Roman" w:cs="Times New Roman"/>
          <w:bCs/>
          <w:sz w:val="24"/>
          <w:szCs w:val="24"/>
        </w:rPr>
        <w:t>conceptual   frame work</w:t>
      </w:r>
      <w:r w:rsidRPr="009B0034">
        <w:rPr>
          <w:rFonts w:ascii="Times New Roman" w:hAnsi="Times New Roman" w:cs="Times New Roman"/>
          <w:b/>
          <w:bCs/>
          <w:sz w:val="24"/>
          <w:szCs w:val="24"/>
        </w:rPr>
        <w:t xml:space="preserve"> </w:t>
      </w:r>
      <w:r w:rsidR="009B0034" w:rsidRPr="009B0034">
        <w:rPr>
          <w:rFonts w:ascii="Times New Roman" w:hAnsi="Times New Roman" w:cs="Times New Roman"/>
          <w:b/>
          <w:bCs/>
          <w:sz w:val="24"/>
          <w:szCs w:val="24"/>
        </w:rPr>
        <w:t xml:space="preserve">is </w:t>
      </w:r>
      <w:r w:rsidRPr="009B0034">
        <w:rPr>
          <w:rFonts w:ascii="Times New Roman" w:hAnsi="Times New Roman" w:cs="Times New Roman"/>
          <w:bCs/>
          <w:sz w:val="24"/>
          <w:szCs w:val="24"/>
        </w:rPr>
        <w:t xml:space="preserve">formulated. The frame work shows the predictive </w:t>
      </w:r>
      <w:r w:rsidR="009B0034" w:rsidRPr="009B0034">
        <w:rPr>
          <w:rFonts w:ascii="Times New Roman" w:hAnsi="Times New Roman" w:cs="Times New Roman"/>
          <w:bCs/>
          <w:sz w:val="24"/>
          <w:szCs w:val="24"/>
        </w:rPr>
        <w:t xml:space="preserve">validity </w:t>
      </w:r>
      <w:r w:rsidRPr="009B0034">
        <w:rPr>
          <w:rFonts w:ascii="Times New Roman" w:hAnsi="Times New Roman" w:cs="Times New Roman"/>
          <w:bCs/>
          <w:sz w:val="24"/>
          <w:szCs w:val="24"/>
        </w:rPr>
        <w:t>IOCA on NOCA and ROCA and NOCA ON ROCA.</w:t>
      </w:r>
    </w:p>
    <w:p w14:paraId="0C8D4578" w14:textId="77777777" w:rsidR="00A36470" w:rsidRDefault="00A36470" w:rsidP="00007F28">
      <w:pPr>
        <w:spacing w:after="0" w:line="360" w:lineRule="auto"/>
        <w:ind w:firstLine="432"/>
        <w:jc w:val="both"/>
        <w:rPr>
          <w:rFonts w:ascii="Times New Roman" w:hAnsi="Times New Roman" w:cs="Times New Roman"/>
          <w:bCs/>
          <w:sz w:val="24"/>
          <w:szCs w:val="24"/>
          <w:highlight w:val="yellow"/>
        </w:rPr>
        <w:sectPr w:rsidR="00A36470" w:rsidSect="0072532B">
          <w:type w:val="continuous"/>
          <w:pgSz w:w="12240" w:h="15840"/>
          <w:pgMar w:top="1081" w:right="990" w:bottom="1170" w:left="990" w:header="360" w:footer="720" w:gutter="0"/>
          <w:cols w:num="2" w:space="720"/>
          <w:docGrid w:linePitch="360"/>
        </w:sectPr>
      </w:pPr>
    </w:p>
    <w:p w14:paraId="0E5FCCCF" w14:textId="34782B3E" w:rsidR="00007F28" w:rsidRPr="00E811FB" w:rsidRDefault="009D046A" w:rsidP="00007F28">
      <w:pPr>
        <w:spacing w:after="0" w:line="360" w:lineRule="auto"/>
        <w:ind w:firstLine="432"/>
        <w:jc w:val="both"/>
        <w:rPr>
          <w:rFonts w:ascii="Times New Roman" w:hAnsi="Times New Roman" w:cs="Times New Roman"/>
          <w:bCs/>
          <w:sz w:val="24"/>
          <w:szCs w:val="24"/>
          <w:highlight w:val="yellow"/>
        </w:rPr>
      </w:pPr>
      <w:r w:rsidRPr="00E811FB">
        <w:rPr>
          <w:rFonts w:ascii="Times New Roman" w:hAnsi="Times New Roman" w:cs="Times New Roman"/>
          <w:noProof/>
          <w:sz w:val="24"/>
          <w:szCs w:val="24"/>
          <w:highlight w:val="yellow"/>
        </w:rPr>
        <mc:AlternateContent>
          <mc:Choice Requires="wps">
            <w:drawing>
              <wp:anchor distT="0" distB="0" distL="114300" distR="114300" simplePos="0" relativeHeight="251660800" behindDoc="0" locked="0" layoutInCell="1" allowOverlap="1" wp14:anchorId="06A48326" wp14:editId="59A9E1C3">
                <wp:simplePos x="0" y="0"/>
                <wp:positionH relativeFrom="column">
                  <wp:posOffset>1846429</wp:posOffset>
                </wp:positionH>
                <wp:positionV relativeFrom="paragraph">
                  <wp:posOffset>249669</wp:posOffset>
                </wp:positionV>
                <wp:extent cx="847725" cy="247650"/>
                <wp:effectExtent l="0" t="38100" r="47625" b="19050"/>
                <wp:wrapNone/>
                <wp:docPr id="826025856" name="Straight Arrow Connector 16"/>
                <wp:cNvGraphicFramePr/>
                <a:graphic xmlns:a="http://schemas.openxmlformats.org/drawingml/2006/main">
                  <a:graphicData uri="http://schemas.microsoft.com/office/word/2010/wordprocessingShape">
                    <wps:wsp>
                      <wps:cNvCnPr/>
                      <wps:spPr>
                        <a:xfrm flipV="1">
                          <a:off x="0" y="0"/>
                          <a:ext cx="847725" cy="24765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378979F7" id="_x0000_t32" coordsize="21600,21600" o:spt="32" o:oned="t" path="m,l21600,21600e" filled="f">
                <v:path arrowok="t" fillok="f" o:connecttype="none"/>
                <o:lock v:ext="edit" shapetype="t"/>
              </v:shapetype>
              <v:shape id="Straight Arrow Connector 16" o:spid="_x0000_s1026" type="#_x0000_t32" style="position:absolute;margin-left:145.4pt;margin-top:19.65pt;width:66.75pt;height:19.5pt;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">
                <v:stroke endarrow="block"/>
              </v:shape>
            </w:pict>
          </mc:Fallback>
        </mc:AlternateContent>
      </w:r>
    </w:p>
    <w:p w14:paraId="1F5EC583" w14:textId="1918C108" w:rsidR="008B0B98" w:rsidRDefault="009D046A" w:rsidP="008B0B98">
      <w:pPr>
        <w:spacing w:before="100" w:beforeAutospacing="1" w:after="100" w:afterAutospacing="1" w:line="360" w:lineRule="auto"/>
        <w:ind w:firstLine="432"/>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2608" behindDoc="0" locked="0" layoutInCell="1" allowOverlap="1" wp14:anchorId="7A8C72A6" wp14:editId="05A8E3D8">
                <wp:simplePos x="0" y="0"/>
                <wp:positionH relativeFrom="column">
                  <wp:posOffset>2844819</wp:posOffset>
                </wp:positionH>
                <wp:positionV relativeFrom="paragraph">
                  <wp:posOffset>551341</wp:posOffset>
                </wp:positionV>
                <wp:extent cx="1676400" cy="485775"/>
                <wp:effectExtent l="0" t="0" r="19050" b="28575"/>
                <wp:wrapNone/>
                <wp:docPr id="1084752685" name="Rectangle 15"/>
                <wp:cNvGraphicFramePr/>
                <a:graphic xmlns:a="http://schemas.openxmlformats.org/drawingml/2006/main">
                  <a:graphicData uri="http://schemas.microsoft.com/office/word/2010/wordprocessingShape">
                    <wps:wsp>
                      <wps:cNvSpPr/>
                      <wps:spPr>
                        <a:xfrm>
                          <a:off x="0" y="0"/>
                          <a:ext cx="1676400" cy="485775"/>
                        </a:xfrm>
                        <a:prstGeom prst="rect">
                          <a:avLst/>
                        </a:prstGeom>
                        <a:solidFill>
                          <a:sysClr val="window" lastClr="FFFFFF"/>
                        </a:solidFill>
                        <a:ln w="25400" cap="flat" cmpd="sng" algn="ctr">
                          <a:solidFill>
                            <a:srgbClr val="F79646"/>
                          </a:solidFill>
                          <a:prstDash val="solid"/>
                        </a:ln>
                        <a:effectLst/>
                      </wps:spPr>
                      <wps:txbx>
                        <w:txbxContent>
                          <w:p w14:paraId="081547C8" w14:textId="77777777" w:rsidR="00540922" w:rsidRPr="00BE1E86" w:rsidRDefault="00540922" w:rsidP="008B0B98">
                            <w:pPr>
                              <w:jc w:val="center"/>
                              <w:rPr>
                                <w:rFonts w:ascii="Times New Roman" w:hAnsi="Times New Roman" w:cs="Times New Roman"/>
                                <w:b/>
                                <w:bCs/>
                                <w:sz w:val="24"/>
                                <w:szCs w:val="24"/>
                              </w:rPr>
                            </w:pPr>
                            <w:r w:rsidRPr="00BE1E86">
                              <w:rPr>
                                <w:rFonts w:ascii="Times New Roman" w:hAnsi="Times New Roman" w:cs="Times New Roman"/>
                                <w:b/>
                                <w:bCs/>
                                <w:sz w:val="24"/>
                                <w:szCs w:val="24"/>
                              </w:rPr>
                              <w:t>ROCA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8C72A6" id="_x0000_s1027" style="position:absolute;left:0;text-align:left;margin-left:224pt;margin-top:43.4pt;width:132pt;height:38.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" fillcolor="window" strokecolor="#f79646" strokeweight="2pt">
                <v:textbox>
                  <w:txbxContent>
                    <w:p w14:paraId="081547C8" w14:textId="77777777" w:rsidR="00540922" w:rsidRPr="00BE1E86" w:rsidRDefault="00540922" w:rsidP="008B0B98">
                      <w:pPr>
                        <w:jc w:val="center"/>
                        <w:rPr>
                          <w:rFonts w:ascii="Times New Roman" w:hAnsi="Times New Roman" w:cs="Times New Roman"/>
                          <w:b/>
                          <w:bCs/>
                          <w:sz w:val="24"/>
                          <w:szCs w:val="24"/>
                        </w:rPr>
                      </w:pPr>
                      <w:r w:rsidRPr="00BE1E86">
                        <w:rPr>
                          <w:rFonts w:ascii="Times New Roman" w:hAnsi="Times New Roman" w:cs="Times New Roman"/>
                          <w:b/>
                          <w:bCs/>
                          <w:sz w:val="24"/>
                          <w:szCs w:val="24"/>
                        </w:rPr>
                        <w:t>ROCA</w:t>
                      </w:r>
                    </w:p>
                  </w:txbxContent>
                </v:textbox>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7184" behindDoc="0" locked="0" layoutInCell="1" allowOverlap="1" wp14:anchorId="45C81340" wp14:editId="59C77B09">
                <wp:simplePos x="0" y="0"/>
                <wp:positionH relativeFrom="column">
                  <wp:posOffset>3613785</wp:posOffset>
                </wp:positionH>
                <wp:positionV relativeFrom="paragraph">
                  <wp:posOffset>103467</wp:posOffset>
                </wp:positionV>
                <wp:extent cx="45085" cy="447675"/>
                <wp:effectExtent l="38100" t="0" r="69215" b="47625"/>
                <wp:wrapNone/>
                <wp:docPr id="1169976172" name="Straight Arrow Connector 18"/>
                <wp:cNvGraphicFramePr/>
                <a:graphic xmlns:a="http://schemas.openxmlformats.org/drawingml/2006/main">
                  <a:graphicData uri="http://schemas.microsoft.com/office/word/2010/wordprocessingShape">
                    <wps:wsp>
                      <wps:cNvCnPr/>
                      <wps:spPr>
                        <a:xfrm>
                          <a:off x="0" y="0"/>
                          <a:ext cx="45085" cy="447675"/>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DDAD32B" id="Straight Arrow Connector 18" o:spid="_x0000_s1026" type="#_x0000_t32" style="position:absolute;margin-left:284.55pt;margin-top:8.15pt;width:3.55pt;height:35.2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">
                <v:stroke endarrow="block"/>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6944" behindDoc="0" locked="0" layoutInCell="1" allowOverlap="1" wp14:anchorId="763D6374" wp14:editId="6BE99528">
                <wp:simplePos x="0" y="0"/>
                <wp:positionH relativeFrom="column">
                  <wp:posOffset>1847850</wp:posOffset>
                </wp:positionH>
                <wp:positionV relativeFrom="paragraph">
                  <wp:posOffset>300393</wp:posOffset>
                </wp:positionV>
                <wp:extent cx="914400" cy="476250"/>
                <wp:effectExtent l="0" t="0" r="76200" b="57150"/>
                <wp:wrapNone/>
                <wp:docPr id="457261111" name="Straight Arrow Connector 17"/>
                <wp:cNvGraphicFramePr/>
                <a:graphic xmlns:a="http://schemas.openxmlformats.org/drawingml/2006/main">
                  <a:graphicData uri="http://schemas.microsoft.com/office/word/2010/wordprocessingShape">
                    <wps:wsp>
                      <wps:cNvCnPr/>
                      <wps:spPr>
                        <a:xfrm>
                          <a:off x="0" y="0"/>
                          <a:ext cx="914400" cy="47625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996110D" id="Straight Arrow Connector 17" o:spid="_x0000_s1026" type="#_x0000_t32" style="position:absolute;margin-left:145.5pt;margin-top:23.65pt;width:1in;height:37.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">
                <v:stroke endarrow="block"/>
              </v:shape>
            </w:pict>
          </mc:Fallback>
        </mc:AlternateContent>
      </w:r>
      <w:r w:rsidRPr="00E811FB">
        <w:rPr>
          <w:rFonts w:ascii="Times New Roman" w:hAnsi="Times New Roman" w:cs="Times New Roman"/>
          <w:noProof/>
          <w:sz w:val="24"/>
          <w:szCs w:val="24"/>
          <w:highlight w:val="yellow"/>
        </w:rPr>
        <mc:AlternateContent>
          <mc:Choice Requires="wps">
            <w:drawing>
              <wp:anchor distT="0" distB="0" distL="114300" distR="114300" simplePos="0" relativeHeight="251648512" behindDoc="0" locked="0" layoutInCell="1" allowOverlap="1" wp14:anchorId="173E29F5" wp14:editId="0D1A927F">
                <wp:simplePos x="0" y="0"/>
                <wp:positionH relativeFrom="column">
                  <wp:posOffset>542925</wp:posOffset>
                </wp:positionH>
                <wp:positionV relativeFrom="paragraph">
                  <wp:posOffset>41579</wp:posOffset>
                </wp:positionV>
                <wp:extent cx="1276350" cy="371475"/>
                <wp:effectExtent l="0" t="0" r="19050" b="28575"/>
                <wp:wrapNone/>
                <wp:docPr id="1797045620" name="Rectangle 15"/>
                <wp:cNvGraphicFramePr/>
                <a:graphic xmlns:a="http://schemas.openxmlformats.org/drawingml/2006/main">
                  <a:graphicData uri="http://schemas.microsoft.com/office/word/2010/wordprocessingShape">
                    <wps:wsp>
                      <wps:cNvSpPr/>
                      <wps:spPr>
                        <a:xfrm>
                          <a:off x="0" y="0"/>
                          <a:ext cx="1276350" cy="371475"/>
                        </a:xfrm>
                        <a:prstGeom prst="rect">
                          <a:avLst/>
                        </a:prstGeom>
                        <a:solidFill>
                          <a:sysClr val="window" lastClr="FFFFFF"/>
                        </a:solidFill>
                        <a:ln w="25400" cap="flat" cmpd="sng" algn="ctr">
                          <a:solidFill>
                            <a:srgbClr val="F79646"/>
                          </a:solidFill>
                          <a:prstDash val="solid"/>
                        </a:ln>
                        <a:effectLst/>
                      </wps:spPr>
                      <wps:txbx>
                        <w:txbxContent>
                          <w:p w14:paraId="68856AB3" w14:textId="77777777" w:rsidR="00540922" w:rsidRPr="00BE1E86" w:rsidRDefault="00540922" w:rsidP="008B0B98">
                            <w:pPr>
                              <w:jc w:val="center"/>
                              <w:rPr>
                                <w:rFonts w:ascii="Times New Roman" w:hAnsi="Times New Roman" w:cs="Times New Roman"/>
                                <w:b/>
                                <w:bCs/>
                                <w:sz w:val="24"/>
                                <w:szCs w:val="24"/>
                              </w:rPr>
                            </w:pPr>
                            <w:r w:rsidRPr="00BE1E86">
                              <w:rPr>
                                <w:rFonts w:ascii="Times New Roman" w:hAnsi="Times New Roman" w:cs="Times New Roman"/>
                                <w:b/>
                                <w:bCs/>
                                <w:sz w:val="24"/>
                                <w:szCs w:val="24"/>
                              </w:rPr>
                              <w:t xml:space="preserve">IOCA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3E29F5" id="_x0000_s1028" style="position:absolute;left:0;text-align:left;margin-left:42.75pt;margin-top:3.25pt;width:100.5pt;height:29.2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" fillcolor="window" strokecolor="#f79646" strokeweight="2pt">
                <v:textbox>
                  <w:txbxContent>
                    <w:p w14:paraId="68856AB3" w14:textId="77777777" w:rsidR="00540922" w:rsidRPr="00BE1E86" w:rsidRDefault="00540922" w:rsidP="008B0B98">
                      <w:pPr>
                        <w:jc w:val="center"/>
                        <w:rPr>
                          <w:rFonts w:ascii="Times New Roman" w:hAnsi="Times New Roman" w:cs="Times New Roman"/>
                          <w:b/>
                          <w:bCs/>
                          <w:sz w:val="24"/>
                          <w:szCs w:val="24"/>
                        </w:rPr>
                      </w:pPr>
                      <w:r w:rsidRPr="00BE1E86">
                        <w:rPr>
                          <w:rFonts w:ascii="Times New Roman" w:hAnsi="Times New Roman" w:cs="Times New Roman"/>
                          <w:b/>
                          <w:bCs/>
                          <w:sz w:val="24"/>
                          <w:szCs w:val="24"/>
                        </w:rPr>
                        <w:t xml:space="preserve">IOCA </w:t>
                      </w:r>
                    </w:p>
                  </w:txbxContent>
                </v:textbox>
              </v:rect>
            </w:pict>
          </mc:Fallback>
        </mc:AlternateContent>
      </w:r>
    </w:p>
    <w:p w14:paraId="11CBE4F2" w14:textId="358A6385" w:rsidR="008B0B98" w:rsidRDefault="008B0B98" w:rsidP="008B0B98">
      <w:pPr>
        <w:spacing w:before="100" w:beforeAutospacing="1" w:after="100" w:afterAutospacing="1" w:line="360" w:lineRule="auto"/>
        <w:ind w:firstLine="432"/>
        <w:jc w:val="both"/>
        <w:rPr>
          <w:rFonts w:ascii="Times New Roman" w:eastAsia="Times New Roman" w:hAnsi="Times New Roman" w:cs="Times New Roman"/>
          <w:b/>
          <w:bCs/>
          <w:color w:val="252525"/>
          <w:sz w:val="24"/>
          <w:szCs w:val="24"/>
        </w:rPr>
      </w:pPr>
    </w:p>
    <w:p w14:paraId="25EE59FF" w14:textId="77777777" w:rsidR="00A36470" w:rsidRDefault="00A36470" w:rsidP="009D046A">
      <w:pPr>
        <w:pStyle w:val="Heading1"/>
        <w:spacing w:before="120" w:after="120" w:line="276" w:lineRule="auto"/>
        <w:jc w:val="both"/>
        <w:rPr>
          <w:rFonts w:ascii="Times New Roman" w:hAnsi="Times New Roman" w:cs="Times New Roman"/>
          <w:b/>
          <w:color w:val="auto"/>
          <w:sz w:val="24"/>
          <w:szCs w:val="24"/>
        </w:rPr>
        <w:sectPr w:rsidR="00A36470" w:rsidSect="009D046A">
          <w:type w:val="continuous"/>
          <w:pgSz w:w="12240" w:h="15840"/>
          <w:pgMar w:top="1170" w:right="990" w:bottom="1170" w:left="990" w:header="450" w:footer="720" w:gutter="0"/>
          <w:cols w:space="720"/>
          <w:docGrid w:linePitch="360"/>
        </w:sectPr>
      </w:pPr>
    </w:p>
    <w:p w14:paraId="6A20933D" w14:textId="22AEC5FE" w:rsidR="00483E24" w:rsidRPr="0023437B" w:rsidRDefault="00B72DC2" w:rsidP="009136A5">
      <w:pPr>
        <w:pStyle w:val="Heading1"/>
        <w:numPr>
          <w:ilvl w:val="0"/>
          <w:numId w:val="23"/>
        </w:numPr>
        <w:spacing w:before="120" w:after="120" w:line="276" w:lineRule="auto"/>
        <w:jc w:val="both"/>
        <w:rPr>
          <w:rFonts w:ascii="Times New Roman" w:hAnsi="Times New Roman" w:cs="Times New Roman"/>
          <w:b/>
          <w:sz w:val="24"/>
          <w:szCs w:val="24"/>
        </w:rPr>
      </w:pPr>
      <w:r w:rsidRPr="0023437B">
        <w:rPr>
          <w:rFonts w:ascii="Times New Roman" w:hAnsi="Times New Roman" w:cs="Times New Roman"/>
          <w:b/>
          <w:color w:val="auto"/>
          <w:sz w:val="24"/>
          <w:szCs w:val="24"/>
        </w:rPr>
        <w:lastRenderedPageBreak/>
        <w:t xml:space="preserve">Methods </w:t>
      </w:r>
      <w:r w:rsidRPr="0023437B">
        <w:rPr>
          <w:rFonts w:ascii="Times New Roman" w:eastAsia="Calibri" w:hAnsi="Times New Roman" w:cs="Times New Roman"/>
          <w:b/>
          <w:color w:val="auto"/>
          <w:sz w:val="24"/>
          <w:szCs w:val="24"/>
          <w:shd w:val="clear" w:color="auto" w:fill="FFFFFF"/>
        </w:rPr>
        <w:t xml:space="preserve"> </w:t>
      </w:r>
    </w:p>
    <w:p w14:paraId="595083E4" w14:textId="0CEB0B58" w:rsidR="00351900" w:rsidRPr="0023437B" w:rsidRDefault="00351900" w:rsidP="009136A5">
      <w:pPr>
        <w:pStyle w:val="ListParagraph"/>
        <w:numPr>
          <w:ilvl w:val="1"/>
          <w:numId w:val="23"/>
        </w:numPr>
        <w:spacing w:before="120" w:after="120" w:line="276" w:lineRule="auto"/>
        <w:jc w:val="both"/>
        <w:rPr>
          <w:rFonts w:ascii="Times New Roman" w:hAnsi="Times New Roman" w:cs="Times New Roman"/>
          <w:b/>
          <w:sz w:val="24"/>
          <w:szCs w:val="24"/>
        </w:rPr>
      </w:pPr>
      <w:r w:rsidRPr="0023437B">
        <w:rPr>
          <w:rFonts w:ascii="Times New Roman" w:hAnsi="Times New Roman" w:cs="Times New Roman"/>
          <w:b/>
          <w:sz w:val="24"/>
          <w:szCs w:val="24"/>
        </w:rPr>
        <w:t>Design</w:t>
      </w:r>
      <w:r w:rsidR="00777E93" w:rsidRPr="0023437B">
        <w:rPr>
          <w:rFonts w:ascii="Times New Roman" w:hAnsi="Times New Roman" w:cs="Times New Roman"/>
          <w:b/>
          <w:sz w:val="24"/>
          <w:szCs w:val="24"/>
        </w:rPr>
        <w:t xml:space="preserve"> </w:t>
      </w:r>
    </w:p>
    <w:p w14:paraId="64DFE58F" w14:textId="75462A94" w:rsidR="002478C3" w:rsidRPr="00760C52" w:rsidRDefault="00777E93" w:rsidP="00461530">
      <w:pPr>
        <w:spacing w:line="276" w:lineRule="auto"/>
        <w:jc w:val="both"/>
        <w:rPr>
          <w:rFonts w:ascii="Times New Roman" w:hAnsi="Times New Roman" w:cs="Times New Roman"/>
          <w:sz w:val="24"/>
          <w:szCs w:val="24"/>
        </w:rPr>
      </w:pPr>
      <w:r w:rsidRPr="002944E9">
        <w:rPr>
          <w:rFonts w:ascii="Times New Roman" w:hAnsi="Times New Roman" w:cs="Times New Roman"/>
          <w:sz w:val="24"/>
          <w:szCs w:val="24"/>
        </w:rPr>
        <w:t xml:space="preserve">The </w:t>
      </w:r>
      <w:r w:rsidR="00351900">
        <w:rPr>
          <w:rFonts w:ascii="Times New Roman" w:hAnsi="Times New Roman" w:cs="Times New Roman"/>
          <w:sz w:val="24"/>
          <w:szCs w:val="24"/>
        </w:rPr>
        <w:t>study employed mixed</w:t>
      </w:r>
      <w:r w:rsidRPr="002944E9">
        <w:rPr>
          <w:rFonts w:ascii="Times New Roman" w:hAnsi="Times New Roman" w:cs="Times New Roman"/>
          <w:sz w:val="24"/>
          <w:szCs w:val="24"/>
        </w:rPr>
        <w:t xml:space="preserve"> research design combin</w:t>
      </w:r>
      <w:r w:rsidR="00351900">
        <w:rPr>
          <w:rFonts w:ascii="Times New Roman" w:hAnsi="Times New Roman" w:cs="Times New Roman"/>
          <w:sz w:val="24"/>
          <w:szCs w:val="24"/>
        </w:rPr>
        <w:t xml:space="preserve">ing both </w:t>
      </w:r>
      <w:r w:rsidRPr="002944E9">
        <w:rPr>
          <w:rFonts w:ascii="Times New Roman" w:hAnsi="Times New Roman" w:cs="Times New Roman"/>
          <w:sz w:val="24"/>
          <w:szCs w:val="24"/>
        </w:rPr>
        <w:t xml:space="preserve">quantitative </w:t>
      </w:r>
      <w:r w:rsidR="00351900">
        <w:rPr>
          <w:rFonts w:ascii="Times New Roman" w:hAnsi="Times New Roman" w:cs="Times New Roman"/>
          <w:sz w:val="24"/>
          <w:szCs w:val="24"/>
        </w:rPr>
        <w:t xml:space="preserve">and qualitative of </w:t>
      </w:r>
      <w:r w:rsidR="00351900" w:rsidRPr="002944E9">
        <w:rPr>
          <w:rFonts w:ascii="Times New Roman" w:hAnsi="Times New Roman" w:cs="Times New Roman"/>
          <w:sz w:val="24"/>
          <w:szCs w:val="24"/>
        </w:rPr>
        <w:t xml:space="preserve">sequential explanatory </w:t>
      </w:r>
      <w:r w:rsidR="00351900">
        <w:rPr>
          <w:rFonts w:ascii="Times New Roman" w:hAnsi="Times New Roman" w:cs="Times New Roman"/>
          <w:sz w:val="24"/>
          <w:szCs w:val="24"/>
        </w:rPr>
        <w:t>technique.</w:t>
      </w:r>
      <w:r w:rsidR="00351900" w:rsidRPr="002944E9">
        <w:rPr>
          <w:rFonts w:ascii="Times New Roman" w:hAnsi="Times New Roman" w:cs="Times New Roman"/>
          <w:sz w:val="24"/>
          <w:szCs w:val="24"/>
        </w:rPr>
        <w:t xml:space="preserve"> </w:t>
      </w:r>
      <w:r w:rsidR="00351900">
        <w:rPr>
          <w:rFonts w:ascii="Times New Roman" w:hAnsi="Times New Roman" w:cs="Times New Roman"/>
          <w:sz w:val="24"/>
          <w:szCs w:val="24"/>
        </w:rPr>
        <w:t>This was chose</w:t>
      </w:r>
      <w:r w:rsidR="00635864">
        <w:rPr>
          <w:rFonts w:ascii="Times New Roman" w:hAnsi="Times New Roman" w:cs="Times New Roman"/>
          <w:sz w:val="24"/>
          <w:szCs w:val="24"/>
        </w:rPr>
        <w:t>n</w:t>
      </w:r>
      <w:r w:rsidR="00351900">
        <w:rPr>
          <w:rFonts w:ascii="Times New Roman" w:hAnsi="Times New Roman" w:cs="Times New Roman"/>
          <w:sz w:val="24"/>
          <w:szCs w:val="24"/>
        </w:rPr>
        <w:t xml:space="preserve"> because</w:t>
      </w:r>
      <w:r w:rsidR="00635864">
        <w:rPr>
          <w:rFonts w:ascii="Times New Roman" w:hAnsi="Times New Roman" w:cs="Times New Roman"/>
          <w:sz w:val="24"/>
          <w:szCs w:val="24"/>
        </w:rPr>
        <w:t xml:space="preserve"> .</w:t>
      </w:r>
      <w:r w:rsidR="00F33368">
        <w:rPr>
          <w:rFonts w:ascii="Times New Roman" w:hAnsi="Times New Roman" w:cs="Times New Roman"/>
          <w:sz w:val="24"/>
          <w:szCs w:val="24"/>
        </w:rPr>
        <w:t>it</w:t>
      </w:r>
      <w:r w:rsidR="00351900">
        <w:rPr>
          <w:rFonts w:ascii="Times New Roman" w:hAnsi="Times New Roman" w:cs="Times New Roman"/>
          <w:sz w:val="24"/>
          <w:szCs w:val="24"/>
        </w:rPr>
        <w:t xml:space="preserve"> </w:t>
      </w:r>
      <w:r w:rsidRPr="002944E9">
        <w:rPr>
          <w:rFonts w:ascii="Times New Roman" w:hAnsi="Times New Roman" w:cs="Times New Roman"/>
          <w:sz w:val="24"/>
          <w:szCs w:val="24"/>
        </w:rPr>
        <w:t>offers a more comprehensive insight</w:t>
      </w:r>
      <w:r w:rsidR="00351900">
        <w:rPr>
          <w:rFonts w:ascii="Times New Roman" w:hAnsi="Times New Roman" w:cs="Times New Roman"/>
          <w:sz w:val="24"/>
          <w:szCs w:val="24"/>
        </w:rPr>
        <w:t xml:space="preserve"> to examine the problem under investigations.</w:t>
      </w:r>
    </w:p>
    <w:p w14:paraId="13E01DEF" w14:textId="0E7136A3" w:rsidR="00F138CE" w:rsidRPr="001620A8" w:rsidRDefault="00C60458" w:rsidP="009136A5">
      <w:pPr>
        <w:pStyle w:val="ListParagraph"/>
        <w:numPr>
          <w:ilvl w:val="1"/>
          <w:numId w:val="23"/>
        </w:numPr>
        <w:spacing w:before="120" w:after="120" w:line="276" w:lineRule="auto"/>
        <w:rPr>
          <w:rFonts w:ascii="Times New Roman" w:eastAsia="Calibri" w:hAnsi="Times New Roman" w:cs="Times New Roman"/>
          <w:b/>
          <w:sz w:val="24"/>
          <w:szCs w:val="24"/>
          <w:shd w:val="clear" w:color="auto" w:fill="FFFFFF"/>
        </w:rPr>
      </w:pPr>
      <w:r w:rsidRPr="001620A8">
        <w:rPr>
          <w:rFonts w:ascii="Times New Roman" w:eastAsia="Calibri" w:hAnsi="Times New Roman" w:cs="Times New Roman"/>
          <w:b/>
          <w:sz w:val="24"/>
          <w:szCs w:val="24"/>
          <w:shd w:val="clear" w:color="auto" w:fill="FFFFFF"/>
        </w:rPr>
        <w:t>Sampling</w:t>
      </w:r>
      <w:r w:rsidR="00F138CE" w:rsidRPr="001620A8">
        <w:rPr>
          <w:rFonts w:ascii="Times New Roman" w:eastAsia="Calibri" w:hAnsi="Times New Roman" w:cs="Times New Roman"/>
          <w:b/>
          <w:sz w:val="24"/>
          <w:szCs w:val="24"/>
          <w:shd w:val="clear" w:color="auto" w:fill="FFFFFF"/>
        </w:rPr>
        <w:t xml:space="preserve"> </w:t>
      </w:r>
    </w:p>
    <w:p w14:paraId="576DCE39" w14:textId="42F6769D" w:rsidR="00385956" w:rsidRPr="009B0034" w:rsidRDefault="00696A48" w:rsidP="00461530">
      <w:pPr>
        <w:spacing w:after="0" w:line="276" w:lineRule="auto"/>
        <w:jc w:val="both"/>
        <w:rPr>
          <w:rFonts w:ascii="Times New Roman" w:eastAsia="Times New Roman" w:hAnsi="Times New Roman" w:cs="Times New Roman"/>
          <w:sz w:val="24"/>
          <w:szCs w:val="24"/>
        </w:rPr>
      </w:pPr>
      <w:r w:rsidRPr="009B0034">
        <w:rPr>
          <w:rFonts w:ascii="Times New Roman" w:eastAsia="Times New Roman" w:hAnsi="Times New Roman" w:cs="Times New Roman"/>
          <w:sz w:val="24"/>
          <w:szCs w:val="24"/>
        </w:rPr>
        <w:t xml:space="preserve">The study involved 873 Level </w:t>
      </w:r>
      <w:r w:rsidR="009B0034" w:rsidRPr="009B0034">
        <w:rPr>
          <w:rFonts w:ascii="Times New Roman" w:eastAsia="Times New Roman" w:hAnsi="Times New Roman" w:cs="Times New Roman"/>
          <w:sz w:val="24"/>
          <w:szCs w:val="24"/>
        </w:rPr>
        <w:t>IV</w:t>
      </w:r>
      <w:r w:rsidRPr="009B0034">
        <w:rPr>
          <w:rFonts w:ascii="Times New Roman" w:eastAsia="Times New Roman" w:hAnsi="Times New Roman" w:cs="Times New Roman"/>
          <w:sz w:val="24"/>
          <w:szCs w:val="24"/>
        </w:rPr>
        <w:t xml:space="preserve"> students enrolled in private TVET colleges </w:t>
      </w:r>
      <w:r w:rsidR="00FE7CBC" w:rsidRPr="009B0034">
        <w:rPr>
          <w:rFonts w:ascii="Times New Roman" w:eastAsia="Times New Roman" w:hAnsi="Times New Roman" w:cs="Times New Roman"/>
          <w:sz w:val="24"/>
          <w:szCs w:val="24"/>
        </w:rPr>
        <w:t>in</w:t>
      </w:r>
      <w:r w:rsidRPr="009B0034">
        <w:rPr>
          <w:rFonts w:ascii="Times New Roman" w:eastAsia="Times New Roman" w:hAnsi="Times New Roman" w:cs="Times New Roman"/>
          <w:sz w:val="24"/>
          <w:szCs w:val="24"/>
        </w:rPr>
        <w:t xml:space="preserve"> S</w:t>
      </w:r>
      <w:r w:rsidR="00FE7CBC" w:rsidRPr="009B0034">
        <w:rPr>
          <w:rFonts w:ascii="Times New Roman" w:eastAsia="Times New Roman" w:hAnsi="Times New Roman" w:cs="Times New Roman"/>
          <w:sz w:val="24"/>
          <w:szCs w:val="24"/>
        </w:rPr>
        <w:t xml:space="preserve">outh Gonder administrative zone. </w:t>
      </w:r>
      <w:r w:rsidRPr="009B0034">
        <w:rPr>
          <w:rFonts w:ascii="Times New Roman" w:eastAsia="Times New Roman" w:hAnsi="Times New Roman" w:cs="Times New Roman"/>
          <w:sz w:val="24"/>
          <w:szCs w:val="24"/>
        </w:rPr>
        <w:t xml:space="preserve">The total population for the study consisted of 3,290 students, including 1,011 males and 2,279 females. Of this population, 26.53% (873 participants) were selected using proportional stratified </w:t>
      </w:r>
      <w:r w:rsidR="00FE7CBC" w:rsidRPr="009B0034">
        <w:rPr>
          <w:rFonts w:ascii="Times New Roman" w:eastAsia="Times New Roman" w:hAnsi="Times New Roman" w:cs="Times New Roman"/>
          <w:sz w:val="24"/>
          <w:szCs w:val="24"/>
        </w:rPr>
        <w:t xml:space="preserve">random </w:t>
      </w:r>
      <w:r w:rsidRPr="009B0034">
        <w:rPr>
          <w:rFonts w:ascii="Times New Roman" w:eastAsia="Times New Roman" w:hAnsi="Times New Roman" w:cs="Times New Roman"/>
          <w:sz w:val="24"/>
          <w:szCs w:val="24"/>
        </w:rPr>
        <w:t>sampling from four colleges and five departments. Accounting and Finance - 347, Comprehensive Nursing - 176, Database Administration - 171, Medical Laboratory - 89, and Pharmacy - 90.</w:t>
      </w:r>
      <w:r w:rsidR="002478C3" w:rsidRPr="009B0034">
        <w:rPr>
          <w:rFonts w:ascii="Times New Roman" w:hAnsi="Times New Roman" w:cs="Times New Roman"/>
          <w:color w:val="000000"/>
          <w:sz w:val="24"/>
          <w:szCs w:val="24"/>
        </w:rPr>
        <w:t>specifically focusing on IOCA, NOCA, and ROCA. In addition, five teachers, five students, four assessors, two deans, and one assessment center coordinator</w:t>
      </w:r>
      <w:r w:rsidR="00B2719E" w:rsidRPr="009B0034">
        <w:rPr>
          <w:rFonts w:ascii="Times New Roman" w:hAnsi="Times New Roman" w:cs="Times New Roman"/>
          <w:color w:val="000000"/>
          <w:sz w:val="24"/>
          <w:szCs w:val="24"/>
        </w:rPr>
        <w:t xml:space="preserve"> were selected using purposive sampling for qualitative </w:t>
      </w:r>
      <w:proofErr w:type="gramStart"/>
      <w:r w:rsidR="00B2719E" w:rsidRPr="009B0034">
        <w:rPr>
          <w:rFonts w:ascii="Times New Roman" w:hAnsi="Times New Roman" w:cs="Times New Roman"/>
          <w:color w:val="000000"/>
          <w:sz w:val="24"/>
          <w:szCs w:val="24"/>
        </w:rPr>
        <w:t>analysis.</w:t>
      </w:r>
      <w:r w:rsidR="002478C3" w:rsidRPr="009B0034">
        <w:rPr>
          <w:rFonts w:ascii="Times New Roman" w:hAnsi="Times New Roman" w:cs="Times New Roman"/>
          <w:color w:val="000000"/>
          <w:sz w:val="24"/>
          <w:szCs w:val="24"/>
        </w:rPr>
        <w:t>.</w:t>
      </w:r>
      <w:proofErr w:type="gramEnd"/>
      <w:r w:rsidR="002478C3" w:rsidRPr="009B0034">
        <w:rPr>
          <w:rFonts w:ascii="Times New Roman" w:hAnsi="Times New Roman" w:cs="Times New Roman"/>
          <w:color w:val="000000"/>
          <w:sz w:val="24"/>
          <w:szCs w:val="24"/>
        </w:rPr>
        <w:t xml:space="preserve"> The sample selection process careful</w:t>
      </w:r>
      <w:r w:rsidR="00F86DF2" w:rsidRPr="009B0034">
        <w:rPr>
          <w:rFonts w:ascii="Times New Roman" w:hAnsi="Times New Roman" w:cs="Times New Roman"/>
          <w:color w:val="000000"/>
          <w:sz w:val="24"/>
          <w:szCs w:val="24"/>
        </w:rPr>
        <w:t>ly</w:t>
      </w:r>
      <w:r w:rsidR="002478C3" w:rsidRPr="009B0034">
        <w:rPr>
          <w:rFonts w:ascii="Times New Roman" w:hAnsi="Times New Roman" w:cs="Times New Roman"/>
          <w:color w:val="000000"/>
          <w:sz w:val="24"/>
          <w:szCs w:val="24"/>
        </w:rPr>
        <w:t xml:space="preserve"> con</w:t>
      </w:r>
      <w:r w:rsidR="008C111A" w:rsidRPr="009B0034">
        <w:rPr>
          <w:rFonts w:ascii="Times New Roman" w:hAnsi="Times New Roman" w:cs="Times New Roman"/>
          <w:color w:val="000000"/>
          <w:sz w:val="24"/>
          <w:szCs w:val="24"/>
        </w:rPr>
        <w:t>sider</w:t>
      </w:r>
      <w:r w:rsidR="00F86DF2" w:rsidRPr="009B0034">
        <w:rPr>
          <w:rFonts w:ascii="Times New Roman" w:hAnsi="Times New Roman" w:cs="Times New Roman"/>
          <w:color w:val="000000"/>
          <w:sz w:val="24"/>
          <w:szCs w:val="24"/>
        </w:rPr>
        <w:t>ed</w:t>
      </w:r>
      <w:r w:rsidR="002478C3" w:rsidRPr="009B0034">
        <w:rPr>
          <w:rFonts w:ascii="Times New Roman" w:hAnsi="Times New Roman" w:cs="Times New Roman"/>
          <w:color w:val="000000"/>
          <w:sz w:val="24"/>
          <w:szCs w:val="24"/>
        </w:rPr>
        <w:t xml:space="preserve"> expertise, resources, location, number of departments, and training from four private colleges. Demographically, the participants co</w:t>
      </w:r>
      <w:r w:rsidR="008C111A" w:rsidRPr="009B0034">
        <w:rPr>
          <w:rFonts w:ascii="Times New Roman" w:hAnsi="Times New Roman" w:cs="Times New Roman"/>
          <w:color w:val="000000"/>
          <w:sz w:val="24"/>
          <w:szCs w:val="24"/>
        </w:rPr>
        <w:t>mpr</w:t>
      </w:r>
      <w:r w:rsidR="002478C3" w:rsidRPr="009B0034">
        <w:rPr>
          <w:rFonts w:ascii="Times New Roman" w:hAnsi="Times New Roman" w:cs="Times New Roman"/>
          <w:color w:val="000000"/>
          <w:sz w:val="24"/>
          <w:szCs w:val="24"/>
        </w:rPr>
        <w:t>ised 327 (37.46%) m</w:t>
      </w:r>
      <w:r w:rsidR="00FE7CBC" w:rsidRPr="009B0034">
        <w:rPr>
          <w:rFonts w:ascii="Times New Roman" w:hAnsi="Times New Roman" w:cs="Times New Roman"/>
          <w:color w:val="000000"/>
          <w:sz w:val="24"/>
          <w:szCs w:val="24"/>
        </w:rPr>
        <w:t>ales and 546 (62.54%) females. c</w:t>
      </w:r>
      <w:r w:rsidR="002478C3" w:rsidRPr="009B0034">
        <w:rPr>
          <w:rFonts w:ascii="Times New Roman" w:hAnsi="Times New Roman" w:cs="Times New Roman"/>
          <w:color w:val="000000"/>
          <w:sz w:val="24"/>
          <w:szCs w:val="24"/>
        </w:rPr>
        <w:t xml:space="preserve">ompetence levels varied, with 866 (99.2%) students demonstrating competence in IOCA, 163 (18.7%) in NOCA, and only 50 (5.7%) in ROCA. </w:t>
      </w:r>
    </w:p>
    <w:p w14:paraId="3354EAFF" w14:textId="7BA5DAEE" w:rsidR="00872A32" w:rsidRPr="001620A8" w:rsidRDefault="00271E4A" w:rsidP="009136A5">
      <w:pPr>
        <w:pStyle w:val="ListParagraph"/>
        <w:numPr>
          <w:ilvl w:val="1"/>
          <w:numId w:val="23"/>
        </w:numPr>
        <w:spacing w:before="120" w:after="120" w:line="276" w:lineRule="auto"/>
        <w:jc w:val="both"/>
        <w:rPr>
          <w:rFonts w:ascii="Times New Roman" w:hAnsi="Times New Roman" w:cs="Times New Roman"/>
          <w:b/>
          <w:sz w:val="24"/>
          <w:szCs w:val="24"/>
        </w:rPr>
      </w:pPr>
      <w:r w:rsidRPr="001620A8">
        <w:rPr>
          <w:rFonts w:ascii="Times New Roman" w:hAnsi="Times New Roman" w:cs="Times New Roman"/>
          <w:b/>
          <w:sz w:val="24"/>
          <w:szCs w:val="24"/>
        </w:rPr>
        <w:t>Data collection</w:t>
      </w:r>
    </w:p>
    <w:p w14:paraId="564F2D77" w14:textId="486093EC" w:rsidR="002B1E06" w:rsidRDefault="00872A32" w:rsidP="00461530">
      <w:pPr>
        <w:spacing w:line="276" w:lineRule="auto"/>
        <w:jc w:val="both"/>
        <w:rPr>
          <w:rFonts w:ascii="Times New Roman" w:hAnsi="Times New Roman" w:cs="Times New Roman"/>
          <w:sz w:val="24"/>
          <w:szCs w:val="24"/>
        </w:rPr>
      </w:pPr>
      <w:r w:rsidRPr="009B0034">
        <w:rPr>
          <w:rFonts w:ascii="Times New Roman" w:hAnsi="Times New Roman" w:cs="Times New Roman"/>
          <w:sz w:val="24"/>
          <w:szCs w:val="24"/>
        </w:rPr>
        <w:t xml:space="preserve">The study utilized the average examination scores of IOCA, NOCA, and ROCA of all courses offered in the level </w:t>
      </w:r>
      <w:r w:rsidR="009B0034" w:rsidRPr="009B0034">
        <w:rPr>
          <w:rFonts w:ascii="Times New Roman" w:hAnsi="Times New Roman" w:cs="Times New Roman"/>
          <w:sz w:val="24"/>
          <w:szCs w:val="24"/>
        </w:rPr>
        <w:t xml:space="preserve">IV </w:t>
      </w:r>
      <w:r w:rsidRPr="009B0034">
        <w:rPr>
          <w:rFonts w:ascii="Times New Roman" w:hAnsi="Times New Roman" w:cs="Times New Roman"/>
          <w:sz w:val="24"/>
          <w:szCs w:val="24"/>
        </w:rPr>
        <w:t>program</w:t>
      </w:r>
      <w:r w:rsidRPr="009B0034">
        <w:rPr>
          <w:rFonts w:ascii="Times New Roman" w:hAnsi="Times New Roman" w:cs="Times New Roman"/>
          <w:color w:val="ED0000"/>
          <w:sz w:val="24"/>
          <w:szCs w:val="24"/>
        </w:rPr>
        <w:t xml:space="preserve">. </w:t>
      </w:r>
      <w:r w:rsidRPr="009B0034">
        <w:rPr>
          <w:rFonts w:ascii="Times New Roman" w:hAnsi="Times New Roman" w:cs="Times New Roman"/>
          <w:sz w:val="24"/>
          <w:szCs w:val="24"/>
        </w:rPr>
        <w:t xml:space="preserve">NOCA, prepared at the national level, and conducted by regional occupational competence assessment </w:t>
      </w:r>
      <w:r w:rsidRPr="009B0034">
        <w:rPr>
          <w:rFonts w:ascii="Times New Roman" w:hAnsi="Times New Roman" w:cs="Times New Roman"/>
          <w:sz w:val="24"/>
          <w:szCs w:val="24"/>
        </w:rPr>
        <w:t xml:space="preserve">and certification agencies. ROCA is prepared by each </w:t>
      </w:r>
      <w:r w:rsidR="00271E4A" w:rsidRPr="009B0034">
        <w:rPr>
          <w:rFonts w:ascii="Times New Roman" w:hAnsi="Times New Roman" w:cs="Times New Roman"/>
          <w:sz w:val="24"/>
          <w:szCs w:val="24"/>
        </w:rPr>
        <w:t>Employer Company</w:t>
      </w:r>
      <w:r w:rsidRPr="009B0034">
        <w:rPr>
          <w:rFonts w:ascii="Times New Roman" w:hAnsi="Times New Roman" w:cs="Times New Roman"/>
          <w:sz w:val="24"/>
          <w:szCs w:val="24"/>
        </w:rPr>
        <w:t xml:space="preserve"> and industry. It measured the extent to which students have successfully acquired essential knowledge, skills, and attitudes related to the occupational standards of each unit of competence, course, and level within level four program. The average scores for all courses from IOCA, NOCA, and ROCA are provided by private colleges and the AOCACA archive and from each employer's archive</w:t>
      </w:r>
      <w:r w:rsidR="0050671E" w:rsidRPr="009B0034">
        <w:rPr>
          <w:rFonts w:ascii="Times New Roman" w:hAnsi="Times New Roman" w:cs="Times New Roman"/>
          <w:sz w:val="24"/>
          <w:szCs w:val="24"/>
        </w:rPr>
        <w:t>,</w:t>
      </w:r>
      <w:r w:rsidRPr="009B0034">
        <w:rPr>
          <w:rFonts w:ascii="Times New Roman" w:hAnsi="Times New Roman" w:cs="Times New Roman"/>
          <w:sz w:val="24"/>
          <w:szCs w:val="24"/>
        </w:rPr>
        <w:t xml:space="preserve"> respectively. Furthermore, NOCA is used to evaluate students' competence and assessed colleges based students' performance. ROCA aids in the selection of graduates for employment and serves as an indicator of college performance.</w:t>
      </w:r>
      <w:r w:rsidR="002B1E06" w:rsidRPr="009B0034">
        <w:rPr>
          <w:rFonts w:ascii="Times New Roman" w:hAnsi="Times New Roman" w:cs="Times New Roman"/>
          <w:sz w:val="24"/>
          <w:szCs w:val="24"/>
        </w:rPr>
        <w:t xml:space="preserve"> In addition, interview items developed by classroom teachers and in-company training supervisors and the interview conducted to gain insights into the predictive validity of CBA and the factors influencing the predictive validity of IOCA and NOCA on IOCA. It was </w:t>
      </w:r>
      <w:r w:rsidR="00581D73" w:rsidRPr="009B0034">
        <w:rPr>
          <w:rFonts w:ascii="Times New Roman" w:hAnsi="Times New Roman" w:cs="Times New Roman"/>
          <w:sz w:val="24"/>
          <w:szCs w:val="24"/>
        </w:rPr>
        <w:t xml:space="preserve">conducted at </w:t>
      </w:r>
      <w:r w:rsidR="002B1E06" w:rsidRPr="009B0034">
        <w:rPr>
          <w:rFonts w:ascii="Times New Roman" w:hAnsi="Times New Roman" w:cs="Times New Roman"/>
          <w:sz w:val="24"/>
          <w:szCs w:val="24"/>
        </w:rPr>
        <w:t>the institutional level.</w:t>
      </w:r>
      <w:r w:rsidR="002B1E06" w:rsidRPr="00F546C9">
        <w:rPr>
          <w:rFonts w:ascii="Times New Roman" w:hAnsi="Times New Roman" w:cs="Times New Roman"/>
          <w:sz w:val="24"/>
          <w:szCs w:val="24"/>
        </w:rPr>
        <w:t xml:space="preserve"> </w:t>
      </w:r>
    </w:p>
    <w:p w14:paraId="2269AC2D" w14:textId="7BAEA57E" w:rsidR="00075A56" w:rsidRPr="00F33368" w:rsidRDefault="00075A56" w:rsidP="009136A5">
      <w:pPr>
        <w:pStyle w:val="ListParagraph"/>
        <w:numPr>
          <w:ilvl w:val="1"/>
          <w:numId w:val="23"/>
        </w:numPr>
        <w:spacing w:before="120" w:after="120" w:line="276" w:lineRule="auto"/>
        <w:jc w:val="both"/>
        <w:rPr>
          <w:rFonts w:ascii="Times New Roman" w:hAnsi="Times New Roman" w:cs="Times New Roman"/>
          <w:b/>
          <w:sz w:val="24"/>
          <w:szCs w:val="24"/>
        </w:rPr>
      </w:pPr>
      <w:r w:rsidRPr="00F33368">
        <w:rPr>
          <w:rFonts w:ascii="Times New Roman" w:hAnsi="Times New Roman" w:cs="Times New Roman"/>
          <w:b/>
          <w:sz w:val="24"/>
          <w:szCs w:val="24"/>
        </w:rPr>
        <w:t>Variables</w:t>
      </w:r>
      <w:r w:rsidR="0017385F" w:rsidRPr="00F33368">
        <w:rPr>
          <w:rFonts w:ascii="Times New Roman" w:hAnsi="Times New Roman" w:cs="Times New Roman"/>
          <w:b/>
          <w:sz w:val="24"/>
          <w:szCs w:val="24"/>
        </w:rPr>
        <w:t xml:space="preserve"> of the study</w:t>
      </w:r>
    </w:p>
    <w:p w14:paraId="7E78DABF" w14:textId="6E4DE096" w:rsidR="002669A3" w:rsidRDefault="005D2EA0" w:rsidP="00461530">
      <w:pPr>
        <w:spacing w:after="0" w:line="276" w:lineRule="auto"/>
        <w:jc w:val="both"/>
        <w:rPr>
          <w:rFonts w:ascii="Times New Roman" w:eastAsia="Times New Roman" w:hAnsi="Times New Roman" w:cs="Times New Roman"/>
          <w:sz w:val="24"/>
          <w:szCs w:val="24"/>
        </w:rPr>
      </w:pPr>
      <w:r w:rsidRPr="002944E9">
        <w:rPr>
          <w:rFonts w:ascii="Times New Roman" w:eastAsia="Times New Roman" w:hAnsi="Times New Roman" w:cs="Times New Roman"/>
          <w:sz w:val="24"/>
          <w:szCs w:val="24"/>
        </w:rPr>
        <w:t xml:space="preserve">The independent variable in this study was IOCA, which served as the baseline </w:t>
      </w:r>
      <w:r w:rsidR="005567E7" w:rsidRPr="002944E9">
        <w:rPr>
          <w:rFonts w:ascii="Times New Roman" w:eastAsia="Times New Roman" w:hAnsi="Times New Roman" w:cs="Times New Roman"/>
          <w:sz w:val="24"/>
          <w:szCs w:val="24"/>
        </w:rPr>
        <w:t>for both</w:t>
      </w:r>
      <w:r w:rsidR="003C0BAE">
        <w:rPr>
          <w:rFonts w:ascii="Times New Roman" w:eastAsia="Times New Roman" w:hAnsi="Times New Roman" w:cs="Times New Roman"/>
          <w:sz w:val="24"/>
          <w:szCs w:val="24"/>
        </w:rPr>
        <w:t xml:space="preserve"> NOCA and ROCA. IOCA served as </w:t>
      </w:r>
      <w:r w:rsidRPr="002944E9">
        <w:rPr>
          <w:rFonts w:ascii="Times New Roman" w:eastAsia="Times New Roman" w:hAnsi="Times New Roman" w:cs="Times New Roman"/>
          <w:sz w:val="24"/>
          <w:szCs w:val="24"/>
        </w:rPr>
        <w:t>a predictive role for both NOCA and ROCA</w:t>
      </w:r>
      <w:r w:rsidR="00F73368">
        <w:rPr>
          <w:rFonts w:ascii="Times New Roman" w:eastAsia="Times New Roman" w:hAnsi="Times New Roman" w:cs="Times New Roman"/>
          <w:sz w:val="24"/>
          <w:szCs w:val="24"/>
        </w:rPr>
        <w:t>.</w:t>
      </w:r>
      <w:r w:rsidRPr="002944E9">
        <w:rPr>
          <w:rFonts w:ascii="Times New Roman" w:eastAsia="Times New Roman" w:hAnsi="Times New Roman" w:cs="Times New Roman"/>
          <w:sz w:val="24"/>
          <w:szCs w:val="24"/>
        </w:rPr>
        <w:t xml:space="preserve"> NOCA</w:t>
      </w:r>
      <w:r w:rsidRPr="002944E9">
        <w:rPr>
          <w:rFonts w:ascii="Times New Roman" w:hAnsi="Times New Roman" w:cs="Times New Roman"/>
          <w:sz w:val="24"/>
          <w:szCs w:val="24"/>
        </w:rPr>
        <w:t xml:space="preserve"> served as both an independent and dependent variable in this study, acting as a predictor for ROCA and a criterion variable for IOCA.</w:t>
      </w:r>
      <w:r w:rsidRPr="002944E9">
        <w:rPr>
          <w:rFonts w:ascii="Times New Roman" w:eastAsia="Times New Roman" w:hAnsi="Times New Roman" w:cs="Times New Roman"/>
          <w:sz w:val="24"/>
          <w:szCs w:val="24"/>
        </w:rPr>
        <w:t xml:space="preserve"> ROCA was employed as the dependent variable in this study, serving as the criterion against which IOCA and NOCA were assessed.</w:t>
      </w:r>
    </w:p>
    <w:p w14:paraId="6B436505" w14:textId="16618F7C" w:rsidR="00D50DCC" w:rsidRPr="00F33368" w:rsidRDefault="00D50DCC" w:rsidP="009136A5">
      <w:pPr>
        <w:pStyle w:val="ListParagraph"/>
        <w:numPr>
          <w:ilvl w:val="1"/>
          <w:numId w:val="23"/>
        </w:numPr>
        <w:spacing w:before="120" w:after="120" w:line="276" w:lineRule="auto"/>
        <w:jc w:val="both"/>
        <w:rPr>
          <w:rFonts w:ascii="Times New Roman" w:hAnsi="Times New Roman" w:cs="Times New Roman"/>
          <w:b/>
          <w:sz w:val="24"/>
          <w:szCs w:val="24"/>
        </w:rPr>
      </w:pPr>
      <w:r w:rsidRPr="00F33368">
        <w:rPr>
          <w:rFonts w:ascii="Times New Roman" w:hAnsi="Times New Roman" w:cs="Times New Roman"/>
          <w:b/>
          <w:sz w:val="24"/>
          <w:szCs w:val="24"/>
        </w:rPr>
        <w:t>Data Analysis</w:t>
      </w:r>
    </w:p>
    <w:p w14:paraId="5B59C2EF" w14:textId="34C844D5" w:rsidR="00744DB0" w:rsidRPr="002944E9" w:rsidRDefault="00744DB0" w:rsidP="00461530">
      <w:pPr>
        <w:spacing w:after="0" w:line="276" w:lineRule="auto"/>
        <w:jc w:val="both"/>
        <w:rPr>
          <w:rFonts w:ascii="Times New Roman" w:hAnsi="Times New Roman" w:cs="Times New Roman"/>
          <w:b/>
          <w:sz w:val="24"/>
          <w:szCs w:val="24"/>
        </w:rPr>
      </w:pPr>
      <w:r w:rsidRPr="002944E9">
        <w:rPr>
          <w:rFonts w:ascii="Times New Roman" w:hAnsi="Times New Roman" w:cs="Times New Roman"/>
          <w:sz w:val="24"/>
          <w:szCs w:val="24"/>
        </w:rPr>
        <w:t>This study employed descriptive statistics</w:t>
      </w:r>
      <w:r>
        <w:rPr>
          <w:rFonts w:ascii="Times New Roman" w:hAnsi="Times New Roman" w:cs="Times New Roman"/>
          <w:sz w:val="24"/>
          <w:szCs w:val="24"/>
        </w:rPr>
        <w:t xml:space="preserve"> </w:t>
      </w:r>
      <w:r w:rsidRPr="002944E9">
        <w:rPr>
          <w:rFonts w:ascii="Times New Roman" w:hAnsi="Times New Roman" w:cs="Times New Roman"/>
          <w:sz w:val="24"/>
          <w:szCs w:val="24"/>
        </w:rPr>
        <w:t xml:space="preserve">and a one-sample t-test to assess students' competence in the IOCA, NOCA, and ROCA. To evaluate normality and homogeneity of variance, Shapiro-Wilk, and Levene's statistical tests were applied, revealing </w:t>
      </w:r>
      <w:r w:rsidRPr="009B0034">
        <w:rPr>
          <w:rFonts w:ascii="Times New Roman" w:hAnsi="Times New Roman" w:cs="Times New Roman"/>
          <w:i/>
          <w:sz w:val="24"/>
          <w:szCs w:val="24"/>
        </w:rPr>
        <w:t>p</w:t>
      </w:r>
      <w:r w:rsidRPr="002944E9">
        <w:rPr>
          <w:rFonts w:ascii="Times New Roman" w:hAnsi="Times New Roman" w:cs="Times New Roman"/>
          <w:sz w:val="24"/>
          <w:szCs w:val="24"/>
        </w:rPr>
        <w:t xml:space="preserve"> &lt; 0.05 in IOCA, NOCA, and ROCA. </w:t>
      </w:r>
      <w:r w:rsidRPr="002944E9">
        <w:rPr>
          <w:rFonts w:ascii="Times New Roman" w:hAnsi="Times New Roman" w:cs="Times New Roman"/>
          <w:sz w:val="24"/>
          <w:szCs w:val="24"/>
        </w:rPr>
        <w:lastRenderedPageBreak/>
        <w:t xml:space="preserve">Consequently, it was concluded that the </w:t>
      </w:r>
      <w:r w:rsidRPr="009B0034">
        <w:rPr>
          <w:rFonts w:ascii="Times New Roman" w:hAnsi="Times New Roman" w:cs="Times New Roman"/>
          <w:sz w:val="24"/>
          <w:szCs w:val="24"/>
        </w:rPr>
        <w:t>data did not conform to normal distribution and homogeneity of variance.</w:t>
      </w:r>
      <w:r w:rsidRPr="002944E9">
        <w:rPr>
          <w:rFonts w:ascii="Times New Roman" w:hAnsi="Times New Roman" w:cs="Times New Roman"/>
          <w:sz w:val="24"/>
          <w:szCs w:val="24"/>
        </w:rPr>
        <w:t xml:space="preserve"> The Wilcoxon Signed Rank Test was used to examine significant differences between the three assessments (IOCA to NOCA, IOCA to ROCA, </w:t>
      </w:r>
      <w:r w:rsidR="003738AC" w:rsidRPr="002944E9">
        <w:rPr>
          <w:rFonts w:ascii="Times New Roman" w:hAnsi="Times New Roman" w:cs="Times New Roman"/>
          <w:sz w:val="24"/>
          <w:szCs w:val="24"/>
        </w:rPr>
        <w:t>and NOCA</w:t>
      </w:r>
      <w:r w:rsidRPr="002944E9">
        <w:rPr>
          <w:rFonts w:ascii="Times New Roman" w:hAnsi="Times New Roman" w:cs="Times New Roman"/>
          <w:sz w:val="24"/>
          <w:szCs w:val="24"/>
        </w:rPr>
        <w:t xml:space="preserve"> to ROCA). At the same time, the Mann-Whitney U Test assessed significant differences between competent and not-yet-competent students for each assessment. </w:t>
      </w:r>
      <w:r>
        <w:rPr>
          <w:rFonts w:ascii="Times New Roman" w:hAnsi="Times New Roman" w:cs="Times New Roman"/>
          <w:sz w:val="24"/>
          <w:szCs w:val="24"/>
        </w:rPr>
        <w:t>Pearson</w:t>
      </w:r>
      <w:r w:rsidRPr="002944E9">
        <w:rPr>
          <w:rFonts w:ascii="Times New Roman" w:hAnsi="Times New Roman" w:cs="Times New Roman"/>
          <w:sz w:val="24"/>
          <w:szCs w:val="24"/>
        </w:rPr>
        <w:t xml:space="preserve"> Correlation Coefficient employed to determine the relationships between IOCA to NOCA, IOCA to ROCA, and NOCA to ROCA. To investigate the predictive power of IOCA to NOCA, IOCA to ROCA, and NOCA to ROCA, the data were transformed, and simple linear regression was applied. Additionally, </w:t>
      </w:r>
      <w:r>
        <w:rPr>
          <w:rFonts w:ascii="Times New Roman" w:hAnsi="Times New Roman" w:cs="Times New Roman"/>
          <w:sz w:val="24"/>
          <w:szCs w:val="24"/>
        </w:rPr>
        <w:t>interview</w:t>
      </w:r>
      <w:r w:rsidRPr="002944E9">
        <w:rPr>
          <w:rFonts w:ascii="Times New Roman" w:hAnsi="Times New Roman" w:cs="Times New Roman"/>
          <w:sz w:val="24"/>
          <w:szCs w:val="24"/>
        </w:rPr>
        <w:t xml:space="preserve"> data analyz</w:t>
      </w:r>
      <w:r>
        <w:rPr>
          <w:rFonts w:ascii="Times New Roman" w:hAnsi="Times New Roman" w:cs="Times New Roman"/>
          <w:sz w:val="24"/>
          <w:szCs w:val="24"/>
        </w:rPr>
        <w:t>ed</w:t>
      </w:r>
      <w:r w:rsidRPr="002944E9">
        <w:rPr>
          <w:rFonts w:ascii="Times New Roman" w:hAnsi="Times New Roman" w:cs="Times New Roman"/>
          <w:sz w:val="24"/>
          <w:szCs w:val="24"/>
        </w:rPr>
        <w:t xml:space="preserve"> </w:t>
      </w:r>
      <w:r>
        <w:rPr>
          <w:rFonts w:ascii="Times New Roman" w:hAnsi="Times New Roman" w:cs="Times New Roman"/>
          <w:sz w:val="24"/>
          <w:szCs w:val="24"/>
        </w:rPr>
        <w:t>qualitatively</w:t>
      </w:r>
      <w:r w:rsidRPr="002944E9">
        <w:rPr>
          <w:rFonts w:ascii="Times New Roman" w:hAnsi="Times New Roman" w:cs="Times New Roman"/>
          <w:sz w:val="24"/>
          <w:szCs w:val="24"/>
        </w:rPr>
        <w:t xml:space="preserve"> to explore factors influencing the predictive power of the assessment</w:t>
      </w:r>
      <w:r w:rsidR="00461530">
        <w:rPr>
          <w:rFonts w:ascii="Times New Roman" w:hAnsi="Times New Roman" w:cs="Times New Roman"/>
          <w:sz w:val="24"/>
          <w:szCs w:val="24"/>
        </w:rPr>
        <w:t>.</w:t>
      </w:r>
    </w:p>
    <w:p w14:paraId="2DF970DC" w14:textId="477D8DAB" w:rsidR="00B50DC0" w:rsidRPr="00F33368" w:rsidRDefault="00B50DC0" w:rsidP="00F33368">
      <w:pPr>
        <w:pStyle w:val="Heading1"/>
        <w:numPr>
          <w:ilvl w:val="0"/>
          <w:numId w:val="23"/>
        </w:numPr>
        <w:spacing w:before="120" w:after="120" w:line="276" w:lineRule="auto"/>
        <w:jc w:val="both"/>
        <w:rPr>
          <w:rFonts w:ascii="Times New Roman" w:hAnsi="Times New Roman" w:cs="Times New Roman"/>
          <w:b/>
          <w:color w:val="auto"/>
          <w:sz w:val="24"/>
          <w:szCs w:val="24"/>
        </w:rPr>
      </w:pPr>
      <w:r w:rsidRPr="00F33368">
        <w:rPr>
          <w:rFonts w:ascii="Times New Roman" w:hAnsi="Times New Roman" w:cs="Times New Roman"/>
          <w:b/>
          <w:color w:val="auto"/>
          <w:sz w:val="24"/>
          <w:szCs w:val="24"/>
        </w:rPr>
        <w:t xml:space="preserve">Results </w:t>
      </w:r>
    </w:p>
    <w:p w14:paraId="4D97EB5C" w14:textId="77777777" w:rsidR="00481B65" w:rsidRDefault="00481B65" w:rsidP="00461530">
      <w:pPr>
        <w:pStyle w:val="NormalWeb"/>
        <w:spacing w:before="0" w:beforeAutospacing="0" w:after="0" w:afterAutospacing="0" w:line="276" w:lineRule="auto"/>
        <w:jc w:val="both"/>
        <w:rPr>
          <w:rFonts w:eastAsia="Times New Roman"/>
        </w:rPr>
      </w:pPr>
      <w:r w:rsidRPr="009B0034">
        <w:t xml:space="preserve">Before conducting the one-sample t-test, paired sample t-test, and linear regression, the following assumptions were checked. The first assumption, independence of observations, was assessed using the Durbin-Watson test. The results, which were close to 2, indicated no autocorrelation, </w:t>
      </w:r>
      <w:r w:rsidRPr="009B0034">
        <w:t>confirming the independence of the observations. The assumption of normality was evaluated with a sample size of 873, which is sufficiently large for normality to be assumed. Additionally, the Kolmogorov-Smirnov test was conducted, producing a p-value greater than 0.05, suggesting that the data followed a normal distribution. Multicollinearity was assessed by examining the Variance Inflation Factor (VIF) values, all of which were below 10, with tolerance values greater than 0.1. These results indicated that there was no significant multicollinearity between IOCA and NOCA, IOCA and ROCA, or NOCA and ROCA. After confirming that all assumptions were met, the analysis was carried out.</w:t>
      </w:r>
    </w:p>
    <w:p w14:paraId="556B7433" w14:textId="6A5E94B9" w:rsidR="00B50DC0" w:rsidRPr="00765BC4" w:rsidRDefault="00B50DC0" w:rsidP="009136A5">
      <w:pPr>
        <w:pStyle w:val="ListParagraph"/>
        <w:numPr>
          <w:ilvl w:val="1"/>
          <w:numId w:val="23"/>
        </w:numPr>
        <w:spacing w:before="120" w:after="120" w:line="276" w:lineRule="auto"/>
        <w:jc w:val="both"/>
        <w:rPr>
          <w:rFonts w:ascii="Times New Roman" w:hAnsi="Times New Roman" w:cs="Times New Roman"/>
          <w:b/>
          <w:sz w:val="24"/>
          <w:szCs w:val="24"/>
        </w:rPr>
      </w:pPr>
      <w:r w:rsidRPr="00765BC4">
        <w:rPr>
          <w:rFonts w:ascii="Times New Roman" w:hAnsi="Times New Roman" w:cs="Times New Roman"/>
          <w:b/>
          <w:sz w:val="24"/>
          <w:szCs w:val="24"/>
        </w:rPr>
        <w:t>Students level of Competence in IOCA, NOCA and ROCA</w:t>
      </w:r>
    </w:p>
    <w:p w14:paraId="4361205B" w14:textId="10046706" w:rsidR="00210EBD" w:rsidRDefault="00210EBD" w:rsidP="00461530">
      <w:pPr>
        <w:pStyle w:val="NormalWeb"/>
        <w:spacing w:before="0" w:beforeAutospacing="0" w:line="276" w:lineRule="auto"/>
        <w:jc w:val="both"/>
      </w:pPr>
      <w:r w:rsidRPr="009B0034">
        <w:t xml:space="preserve">In NOCA, students needed to achieve 100% for the practical assessment, 57.2 % for the theoretical assessment, with an overall requirement of 78.6%. Similarly, for ROCA, students were considered competent if they scored 50% or above. Based on these criteria, the results for IOCA, </w:t>
      </w:r>
      <w:r w:rsidR="009371A3" w:rsidRPr="009B0034">
        <w:t>NOCA and</w:t>
      </w:r>
      <w:r w:rsidRPr="009B0034">
        <w:t xml:space="preserve"> ROCA are presented below in Table 1.</w:t>
      </w:r>
    </w:p>
    <w:p w14:paraId="3507CBF9" w14:textId="77777777" w:rsidR="00A36470" w:rsidRDefault="00A36470" w:rsidP="00765BC4">
      <w:pPr>
        <w:spacing w:after="0" w:line="276" w:lineRule="auto"/>
        <w:jc w:val="both"/>
        <w:rPr>
          <w:rFonts w:ascii="Times New Roman" w:hAnsi="Times New Roman" w:cs="Times New Roman"/>
          <w:sz w:val="24"/>
          <w:szCs w:val="24"/>
        </w:rPr>
        <w:sectPr w:rsidR="00A36470" w:rsidSect="001E6327">
          <w:type w:val="continuous"/>
          <w:pgSz w:w="12240" w:h="15840"/>
          <w:pgMar w:top="1170" w:right="990" w:bottom="1170" w:left="990" w:header="360" w:footer="720" w:gutter="0"/>
          <w:cols w:num="2" w:space="720"/>
          <w:docGrid w:linePitch="360"/>
        </w:sectPr>
      </w:pPr>
    </w:p>
    <w:p w14:paraId="6DBE87C4" w14:textId="43FF525E" w:rsidR="00B50DC0" w:rsidRPr="00765BC4" w:rsidRDefault="00765BC4" w:rsidP="00765BC4">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Table 1.</w:t>
      </w:r>
      <w:r w:rsidR="00B50DC0" w:rsidRPr="00765BC4">
        <w:rPr>
          <w:rFonts w:ascii="Times New Roman" w:hAnsi="Times New Roman" w:cs="Times New Roman"/>
          <w:sz w:val="24"/>
          <w:szCs w:val="24"/>
        </w:rPr>
        <w:t xml:space="preserve"> Students’ level of competence in IOCA, NOCA and ROCA</w:t>
      </w:r>
    </w:p>
    <w:p w14:paraId="416B67B5" w14:textId="77777777" w:rsidR="00B50DC0" w:rsidRPr="008A702B" w:rsidRDefault="00B50DC0" w:rsidP="008A702B">
      <w:pPr>
        <w:pBdr>
          <w:top w:val="single" w:sz="4" w:space="1" w:color="auto"/>
          <w:bottom w:val="single" w:sz="4" w:space="1" w:color="auto"/>
        </w:pBdr>
        <w:spacing w:line="360" w:lineRule="auto"/>
        <w:rPr>
          <w:rFonts w:ascii="Times New Roman" w:hAnsi="Times New Roman" w:cs="Times New Roman"/>
          <w:sz w:val="22"/>
          <w:szCs w:val="22"/>
        </w:rPr>
      </w:pPr>
      <w:r w:rsidRPr="008A702B">
        <w:rPr>
          <w:rFonts w:ascii="Times New Roman" w:hAnsi="Times New Roman" w:cs="Times New Roman"/>
          <w:sz w:val="22"/>
          <w:szCs w:val="22"/>
        </w:rPr>
        <w:t xml:space="preserve">Types of assessment       N             Min          Max           Mean           SD         T value        </w:t>
      </w:r>
      <w:proofErr w:type="spellStart"/>
      <w:r w:rsidRPr="008A702B">
        <w:rPr>
          <w:rFonts w:ascii="Times New Roman" w:hAnsi="Times New Roman" w:cs="Times New Roman"/>
          <w:sz w:val="22"/>
          <w:szCs w:val="22"/>
        </w:rPr>
        <w:t>t</w:t>
      </w:r>
      <w:proofErr w:type="spellEnd"/>
      <w:r w:rsidRPr="008A702B">
        <w:rPr>
          <w:rFonts w:ascii="Times New Roman" w:hAnsi="Times New Roman" w:cs="Times New Roman"/>
          <w:sz w:val="22"/>
          <w:szCs w:val="22"/>
        </w:rPr>
        <w:t xml:space="preserve"> test          Sig</w:t>
      </w:r>
    </w:p>
    <w:p w14:paraId="50766E2F" w14:textId="2C2093EB" w:rsidR="00B50DC0" w:rsidRPr="008A702B" w:rsidRDefault="00B50DC0" w:rsidP="008A702B">
      <w:pPr>
        <w:spacing w:line="360" w:lineRule="auto"/>
        <w:rPr>
          <w:rFonts w:ascii="Times New Roman" w:hAnsi="Times New Roman" w:cs="Times New Roman"/>
          <w:sz w:val="22"/>
          <w:szCs w:val="22"/>
        </w:rPr>
      </w:pPr>
      <w:r w:rsidRPr="008A702B">
        <w:rPr>
          <w:rFonts w:ascii="Times New Roman" w:hAnsi="Times New Roman" w:cs="Times New Roman"/>
          <w:sz w:val="22"/>
          <w:szCs w:val="22"/>
        </w:rPr>
        <w:t>IOCA                               873          23.41         9</w:t>
      </w:r>
      <w:r w:rsidR="00670EEA" w:rsidRPr="008A702B">
        <w:rPr>
          <w:rFonts w:ascii="Times New Roman" w:hAnsi="Times New Roman" w:cs="Times New Roman"/>
          <w:sz w:val="22"/>
          <w:szCs w:val="22"/>
        </w:rPr>
        <w:t>9</w:t>
      </w:r>
      <w:r w:rsidRPr="008A702B">
        <w:rPr>
          <w:rFonts w:ascii="Times New Roman" w:hAnsi="Times New Roman" w:cs="Times New Roman"/>
          <w:sz w:val="22"/>
          <w:szCs w:val="22"/>
        </w:rPr>
        <w:t xml:space="preserve">.90           79. </w:t>
      </w:r>
      <w:r w:rsidR="00670EEA" w:rsidRPr="008A702B">
        <w:rPr>
          <w:rFonts w:ascii="Times New Roman" w:hAnsi="Times New Roman" w:cs="Times New Roman"/>
          <w:sz w:val="22"/>
          <w:szCs w:val="22"/>
        </w:rPr>
        <w:t>24</w:t>
      </w:r>
      <w:r w:rsidRPr="008A702B">
        <w:rPr>
          <w:rFonts w:ascii="Times New Roman" w:hAnsi="Times New Roman" w:cs="Times New Roman"/>
          <w:sz w:val="22"/>
          <w:szCs w:val="22"/>
        </w:rPr>
        <w:t xml:space="preserve">      12.</w:t>
      </w:r>
      <w:r w:rsidR="009D485B">
        <w:rPr>
          <w:rFonts w:ascii="Times New Roman" w:hAnsi="Times New Roman" w:cs="Times New Roman"/>
          <w:sz w:val="22"/>
          <w:szCs w:val="22"/>
        </w:rPr>
        <w:t>30</w:t>
      </w:r>
      <w:r w:rsidRPr="008A702B">
        <w:rPr>
          <w:rFonts w:ascii="Times New Roman" w:hAnsi="Times New Roman" w:cs="Times New Roman"/>
          <w:sz w:val="22"/>
          <w:szCs w:val="22"/>
        </w:rPr>
        <w:t xml:space="preserve">            50         67.</w:t>
      </w:r>
      <w:r w:rsidR="009E5548" w:rsidRPr="008A702B">
        <w:rPr>
          <w:rFonts w:ascii="Times New Roman" w:hAnsi="Times New Roman" w:cs="Times New Roman"/>
          <w:sz w:val="22"/>
          <w:szCs w:val="22"/>
        </w:rPr>
        <w:t>29</w:t>
      </w:r>
      <w:r w:rsidRPr="008A702B">
        <w:rPr>
          <w:rFonts w:ascii="Times New Roman" w:hAnsi="Times New Roman" w:cs="Times New Roman"/>
          <w:sz w:val="22"/>
          <w:szCs w:val="22"/>
        </w:rPr>
        <w:t xml:space="preserve">       .001</w:t>
      </w:r>
    </w:p>
    <w:p w14:paraId="6A6DDC56" w14:textId="59FFFF8D" w:rsidR="00B50DC0" w:rsidRPr="008A702B" w:rsidRDefault="00B50DC0" w:rsidP="008A702B">
      <w:pPr>
        <w:spacing w:line="360" w:lineRule="auto"/>
        <w:rPr>
          <w:rFonts w:ascii="Times New Roman" w:hAnsi="Times New Roman" w:cs="Times New Roman"/>
          <w:sz w:val="22"/>
          <w:szCs w:val="22"/>
        </w:rPr>
      </w:pPr>
      <w:r w:rsidRPr="008A702B">
        <w:rPr>
          <w:rFonts w:ascii="Times New Roman" w:hAnsi="Times New Roman" w:cs="Times New Roman"/>
          <w:sz w:val="22"/>
          <w:szCs w:val="22"/>
        </w:rPr>
        <w:t xml:space="preserve">NOCA                              863             </w:t>
      </w:r>
      <w:r w:rsidR="00670EEA" w:rsidRPr="008A702B">
        <w:rPr>
          <w:rFonts w:ascii="Times New Roman" w:hAnsi="Times New Roman" w:cs="Times New Roman"/>
          <w:sz w:val="22"/>
          <w:szCs w:val="22"/>
        </w:rPr>
        <w:t>8</w:t>
      </w:r>
      <w:r w:rsidRPr="008A702B">
        <w:rPr>
          <w:rFonts w:ascii="Times New Roman" w:hAnsi="Times New Roman" w:cs="Times New Roman"/>
          <w:sz w:val="22"/>
          <w:szCs w:val="22"/>
        </w:rPr>
        <w:t xml:space="preserve">             97.00           </w:t>
      </w:r>
      <w:r w:rsidR="00670EEA" w:rsidRPr="008A702B">
        <w:rPr>
          <w:rFonts w:ascii="Times New Roman" w:hAnsi="Times New Roman" w:cs="Times New Roman"/>
          <w:sz w:val="22"/>
          <w:szCs w:val="22"/>
        </w:rPr>
        <w:t>4</w:t>
      </w:r>
      <w:r w:rsidRPr="008A702B">
        <w:rPr>
          <w:rFonts w:ascii="Times New Roman" w:hAnsi="Times New Roman" w:cs="Times New Roman"/>
          <w:sz w:val="22"/>
          <w:szCs w:val="22"/>
        </w:rPr>
        <w:t>2.</w:t>
      </w:r>
      <w:r w:rsidR="00670EEA" w:rsidRPr="008A702B">
        <w:rPr>
          <w:rFonts w:ascii="Times New Roman" w:hAnsi="Times New Roman" w:cs="Times New Roman"/>
          <w:sz w:val="22"/>
          <w:szCs w:val="22"/>
        </w:rPr>
        <w:t>24</w:t>
      </w:r>
      <w:r w:rsidRPr="008A702B">
        <w:rPr>
          <w:rFonts w:ascii="Times New Roman" w:hAnsi="Times New Roman" w:cs="Times New Roman"/>
          <w:sz w:val="22"/>
          <w:szCs w:val="22"/>
        </w:rPr>
        <w:t xml:space="preserve">           </w:t>
      </w:r>
      <w:r w:rsidR="0093126C" w:rsidRPr="008A702B">
        <w:rPr>
          <w:rFonts w:ascii="Times New Roman" w:hAnsi="Times New Roman" w:cs="Times New Roman"/>
          <w:sz w:val="22"/>
          <w:szCs w:val="22"/>
        </w:rPr>
        <w:t>24</w:t>
      </w:r>
      <w:r w:rsidRPr="008A702B">
        <w:rPr>
          <w:rFonts w:ascii="Times New Roman" w:hAnsi="Times New Roman" w:cs="Times New Roman"/>
          <w:sz w:val="22"/>
          <w:szCs w:val="22"/>
        </w:rPr>
        <w:t>.</w:t>
      </w:r>
      <w:r w:rsidR="0093126C" w:rsidRPr="008A702B">
        <w:rPr>
          <w:rFonts w:ascii="Times New Roman" w:hAnsi="Times New Roman" w:cs="Times New Roman"/>
          <w:sz w:val="22"/>
          <w:szCs w:val="22"/>
        </w:rPr>
        <w:t>89</w:t>
      </w:r>
      <w:r w:rsidRPr="008A702B">
        <w:rPr>
          <w:rFonts w:ascii="Times New Roman" w:hAnsi="Times New Roman" w:cs="Times New Roman"/>
          <w:sz w:val="22"/>
          <w:szCs w:val="22"/>
        </w:rPr>
        <w:t xml:space="preserve">        78.6      - </w:t>
      </w:r>
      <w:r w:rsidR="009D485B">
        <w:rPr>
          <w:rFonts w:ascii="Times New Roman" w:hAnsi="Times New Roman" w:cs="Times New Roman"/>
          <w:sz w:val="22"/>
          <w:szCs w:val="22"/>
        </w:rPr>
        <w:t>9</w:t>
      </w:r>
      <w:r w:rsidRPr="008A702B">
        <w:rPr>
          <w:rFonts w:ascii="Times New Roman" w:hAnsi="Times New Roman" w:cs="Times New Roman"/>
          <w:sz w:val="22"/>
          <w:szCs w:val="22"/>
        </w:rPr>
        <w:t>.</w:t>
      </w:r>
      <w:r w:rsidR="009D485B">
        <w:rPr>
          <w:rFonts w:ascii="Times New Roman" w:hAnsi="Times New Roman" w:cs="Times New Roman"/>
          <w:sz w:val="22"/>
          <w:szCs w:val="22"/>
        </w:rPr>
        <w:t>16</w:t>
      </w:r>
      <w:r w:rsidRPr="008A702B">
        <w:rPr>
          <w:rFonts w:ascii="Times New Roman" w:hAnsi="Times New Roman" w:cs="Times New Roman"/>
          <w:sz w:val="22"/>
          <w:szCs w:val="22"/>
        </w:rPr>
        <w:t xml:space="preserve">       .001</w:t>
      </w:r>
    </w:p>
    <w:p w14:paraId="13AAB23A" w14:textId="7890F64F" w:rsidR="00B50DC0" w:rsidRPr="008A702B" w:rsidRDefault="00B50DC0" w:rsidP="008A702B">
      <w:pPr>
        <w:pBdr>
          <w:bottom w:val="single" w:sz="4" w:space="1" w:color="auto"/>
        </w:pBdr>
        <w:spacing w:line="360" w:lineRule="auto"/>
        <w:rPr>
          <w:rFonts w:ascii="Times New Roman" w:hAnsi="Times New Roman" w:cs="Times New Roman"/>
          <w:sz w:val="22"/>
          <w:szCs w:val="22"/>
        </w:rPr>
      </w:pPr>
      <w:r w:rsidRPr="008A702B">
        <w:rPr>
          <w:rFonts w:ascii="Times New Roman" w:hAnsi="Times New Roman" w:cs="Times New Roman"/>
          <w:sz w:val="22"/>
          <w:szCs w:val="22"/>
        </w:rPr>
        <w:t xml:space="preserve">ROCA                              163              </w:t>
      </w:r>
      <w:r w:rsidR="00670EEA" w:rsidRPr="008A702B">
        <w:rPr>
          <w:rFonts w:ascii="Times New Roman" w:hAnsi="Times New Roman" w:cs="Times New Roman"/>
          <w:sz w:val="22"/>
          <w:szCs w:val="22"/>
        </w:rPr>
        <w:t>12</w:t>
      </w:r>
      <w:r w:rsidRPr="008A702B">
        <w:rPr>
          <w:rFonts w:ascii="Times New Roman" w:hAnsi="Times New Roman" w:cs="Times New Roman"/>
          <w:sz w:val="22"/>
          <w:szCs w:val="22"/>
        </w:rPr>
        <w:t xml:space="preserve">             98.00           </w:t>
      </w:r>
      <w:r w:rsidR="00670EEA" w:rsidRPr="008A702B">
        <w:rPr>
          <w:rFonts w:ascii="Times New Roman" w:hAnsi="Times New Roman" w:cs="Times New Roman"/>
          <w:sz w:val="22"/>
          <w:szCs w:val="22"/>
        </w:rPr>
        <w:t>45</w:t>
      </w:r>
      <w:r w:rsidRPr="008A702B">
        <w:rPr>
          <w:rFonts w:ascii="Times New Roman" w:hAnsi="Times New Roman" w:cs="Times New Roman"/>
          <w:sz w:val="22"/>
          <w:szCs w:val="22"/>
        </w:rPr>
        <w:t>.</w:t>
      </w:r>
      <w:r w:rsidR="00670EEA" w:rsidRPr="008A702B">
        <w:rPr>
          <w:rFonts w:ascii="Times New Roman" w:hAnsi="Times New Roman" w:cs="Times New Roman"/>
          <w:sz w:val="22"/>
          <w:szCs w:val="22"/>
        </w:rPr>
        <w:t>08</w:t>
      </w:r>
      <w:r w:rsidRPr="008A702B">
        <w:rPr>
          <w:rFonts w:ascii="Times New Roman" w:hAnsi="Times New Roman" w:cs="Times New Roman"/>
          <w:sz w:val="22"/>
          <w:szCs w:val="22"/>
        </w:rPr>
        <w:t xml:space="preserve">         </w:t>
      </w:r>
      <w:r w:rsidR="0093126C" w:rsidRPr="008A702B">
        <w:rPr>
          <w:rFonts w:ascii="Times New Roman" w:hAnsi="Times New Roman" w:cs="Times New Roman"/>
          <w:sz w:val="22"/>
          <w:szCs w:val="22"/>
        </w:rPr>
        <w:t>18.9</w:t>
      </w:r>
      <w:r w:rsidR="009D485B">
        <w:rPr>
          <w:rFonts w:ascii="Times New Roman" w:hAnsi="Times New Roman" w:cs="Times New Roman"/>
          <w:sz w:val="22"/>
          <w:szCs w:val="22"/>
        </w:rPr>
        <w:t>9</w:t>
      </w:r>
      <w:r w:rsidRPr="008A702B">
        <w:rPr>
          <w:rFonts w:ascii="Times New Roman" w:hAnsi="Times New Roman" w:cs="Times New Roman"/>
          <w:sz w:val="22"/>
          <w:szCs w:val="22"/>
        </w:rPr>
        <w:t xml:space="preserve">          50          -</w:t>
      </w:r>
      <w:r w:rsidR="009E5548" w:rsidRPr="008A702B">
        <w:rPr>
          <w:rFonts w:ascii="Times New Roman" w:hAnsi="Times New Roman" w:cs="Times New Roman"/>
          <w:sz w:val="22"/>
          <w:szCs w:val="22"/>
        </w:rPr>
        <w:t>3</w:t>
      </w:r>
      <w:r w:rsidRPr="008A702B">
        <w:rPr>
          <w:rFonts w:ascii="Times New Roman" w:hAnsi="Times New Roman" w:cs="Times New Roman"/>
          <w:sz w:val="22"/>
          <w:szCs w:val="22"/>
        </w:rPr>
        <w:t>.</w:t>
      </w:r>
      <w:r w:rsidR="009E5548" w:rsidRPr="008A702B">
        <w:rPr>
          <w:rFonts w:ascii="Times New Roman" w:hAnsi="Times New Roman" w:cs="Times New Roman"/>
          <w:sz w:val="22"/>
          <w:szCs w:val="22"/>
        </w:rPr>
        <w:t>31</w:t>
      </w:r>
      <w:r w:rsidRPr="008A702B">
        <w:rPr>
          <w:rFonts w:ascii="Times New Roman" w:hAnsi="Times New Roman" w:cs="Times New Roman"/>
          <w:sz w:val="22"/>
          <w:szCs w:val="22"/>
        </w:rPr>
        <w:t xml:space="preserve">       .001</w:t>
      </w:r>
    </w:p>
    <w:p w14:paraId="43FBA347" w14:textId="77777777" w:rsidR="00A36470" w:rsidRDefault="00A36470" w:rsidP="00765BC4">
      <w:pPr>
        <w:spacing w:before="100" w:beforeAutospacing="1" w:after="100" w:afterAutospacing="1" w:line="360" w:lineRule="auto"/>
        <w:jc w:val="both"/>
        <w:rPr>
          <w:rFonts w:ascii="Times New Roman" w:hAnsi="Times New Roman" w:cs="Times New Roman"/>
          <w:sz w:val="24"/>
          <w:szCs w:val="24"/>
        </w:rPr>
        <w:sectPr w:rsidR="00A36470" w:rsidSect="00A36470">
          <w:type w:val="continuous"/>
          <w:pgSz w:w="12240" w:h="15840"/>
          <w:pgMar w:top="1170" w:right="990" w:bottom="1170" w:left="990" w:header="720" w:footer="720" w:gutter="0"/>
          <w:cols w:space="720"/>
          <w:docGrid w:linePitch="360"/>
        </w:sectPr>
      </w:pPr>
    </w:p>
    <w:p w14:paraId="0E574383" w14:textId="0728D18C" w:rsidR="001D3428" w:rsidRDefault="00B50DC0" w:rsidP="00461530">
      <w:pPr>
        <w:spacing w:before="100" w:beforeAutospacing="1" w:after="100" w:afterAutospacing="1" w:line="276" w:lineRule="auto"/>
        <w:jc w:val="both"/>
        <w:rPr>
          <w:rFonts w:ascii="Times New Roman" w:hAnsi="Times New Roman" w:cs="Times New Roman"/>
          <w:color w:val="000000" w:themeColor="text1"/>
          <w:sz w:val="24"/>
          <w:szCs w:val="24"/>
        </w:rPr>
      </w:pPr>
      <w:r w:rsidRPr="002944E9">
        <w:rPr>
          <w:rFonts w:ascii="Times New Roman" w:hAnsi="Times New Roman" w:cs="Times New Roman"/>
          <w:sz w:val="24"/>
          <w:szCs w:val="24"/>
        </w:rPr>
        <w:t>As presented in Table 1, the outcomes of the one-sample t-tests revealed notable differences in competency levels. The mean value of IOCA was found to be significantly higher than the expected mean (M= 79.</w:t>
      </w:r>
      <w:r w:rsidR="00A70522">
        <w:rPr>
          <w:rFonts w:ascii="Times New Roman" w:hAnsi="Times New Roman" w:cs="Times New Roman"/>
          <w:sz w:val="24"/>
          <w:szCs w:val="24"/>
        </w:rPr>
        <w:t>65</w:t>
      </w:r>
      <w:r w:rsidRPr="002944E9">
        <w:rPr>
          <w:rFonts w:ascii="Times New Roman" w:hAnsi="Times New Roman" w:cs="Times New Roman"/>
          <w:sz w:val="24"/>
          <w:szCs w:val="24"/>
        </w:rPr>
        <w:t>, SD= 12.</w:t>
      </w:r>
      <w:r w:rsidR="00A70522">
        <w:rPr>
          <w:rFonts w:ascii="Times New Roman" w:hAnsi="Times New Roman" w:cs="Times New Roman"/>
          <w:sz w:val="24"/>
          <w:szCs w:val="24"/>
        </w:rPr>
        <w:t>30</w:t>
      </w:r>
      <w:r w:rsidRPr="002944E9">
        <w:rPr>
          <w:rFonts w:ascii="Times New Roman" w:hAnsi="Times New Roman" w:cs="Times New Roman"/>
          <w:sz w:val="24"/>
          <w:szCs w:val="24"/>
        </w:rPr>
        <w:t xml:space="preserve">, t = </w:t>
      </w:r>
      <w:r w:rsidR="00FD4234" w:rsidRPr="002944E9">
        <w:rPr>
          <w:rFonts w:ascii="Times New Roman" w:hAnsi="Times New Roman" w:cs="Times New Roman"/>
          <w:sz w:val="24"/>
          <w:szCs w:val="24"/>
        </w:rPr>
        <w:t>67</w:t>
      </w:r>
      <w:r w:rsidR="00FD4234">
        <w:rPr>
          <w:rFonts w:ascii="Times New Roman" w:hAnsi="Times New Roman" w:cs="Times New Roman"/>
          <w:sz w:val="24"/>
          <w:szCs w:val="24"/>
        </w:rPr>
        <w:t>.29,</w:t>
      </w:r>
      <w:r w:rsidRPr="002944E9">
        <w:rPr>
          <w:rFonts w:ascii="Times New Roman" w:hAnsi="Times New Roman" w:cs="Times New Roman"/>
          <w:sz w:val="24"/>
          <w:szCs w:val="24"/>
        </w:rPr>
        <w:t xml:space="preserve"> p &lt; .001). This signifies that students' competence in IOCA surpasses the institutional </w:t>
      </w:r>
      <w:r w:rsidRPr="002944E9">
        <w:rPr>
          <w:rFonts w:ascii="Times New Roman" w:hAnsi="Times New Roman" w:cs="Times New Roman"/>
          <w:sz w:val="24"/>
          <w:szCs w:val="24"/>
        </w:rPr>
        <w:t xml:space="preserve">competence rate standard </w:t>
      </w:r>
      <w:r w:rsidRPr="002944E9">
        <w:rPr>
          <w:rFonts w:ascii="Times New Roman" w:hAnsi="Times New Roman" w:cs="Times New Roman"/>
          <w:color w:val="000000" w:themeColor="text1"/>
          <w:sz w:val="24"/>
          <w:szCs w:val="24"/>
        </w:rPr>
        <w:t xml:space="preserve">set by FTA (2014). Conversely, the mean value of NOCA was significantly lower than the expected mean (M= </w:t>
      </w:r>
      <w:r w:rsidR="001D3428">
        <w:rPr>
          <w:rFonts w:ascii="Times New Roman" w:hAnsi="Times New Roman" w:cs="Times New Roman"/>
          <w:color w:val="000000" w:themeColor="text1"/>
          <w:sz w:val="24"/>
          <w:szCs w:val="24"/>
        </w:rPr>
        <w:t>42</w:t>
      </w:r>
      <w:r w:rsidRPr="002944E9">
        <w:rPr>
          <w:rFonts w:ascii="Times New Roman" w:hAnsi="Times New Roman" w:cs="Times New Roman"/>
          <w:color w:val="000000" w:themeColor="text1"/>
          <w:sz w:val="24"/>
          <w:szCs w:val="24"/>
        </w:rPr>
        <w:t>.</w:t>
      </w:r>
      <w:r w:rsidR="00FD4234">
        <w:rPr>
          <w:rFonts w:ascii="Times New Roman" w:hAnsi="Times New Roman" w:cs="Times New Roman"/>
          <w:color w:val="000000" w:themeColor="text1"/>
          <w:sz w:val="24"/>
          <w:szCs w:val="24"/>
        </w:rPr>
        <w:t>24</w:t>
      </w:r>
      <w:r w:rsidRPr="002944E9">
        <w:rPr>
          <w:rFonts w:ascii="Times New Roman" w:hAnsi="Times New Roman" w:cs="Times New Roman"/>
          <w:color w:val="000000" w:themeColor="text1"/>
          <w:sz w:val="24"/>
          <w:szCs w:val="24"/>
        </w:rPr>
        <w:t xml:space="preserve">, SD= </w:t>
      </w:r>
      <w:r w:rsidR="001D3428">
        <w:rPr>
          <w:rFonts w:ascii="Times New Roman" w:hAnsi="Times New Roman" w:cs="Times New Roman"/>
          <w:color w:val="000000" w:themeColor="text1"/>
          <w:sz w:val="24"/>
          <w:szCs w:val="24"/>
        </w:rPr>
        <w:t>24</w:t>
      </w:r>
      <w:r w:rsidRPr="002944E9">
        <w:rPr>
          <w:rFonts w:ascii="Times New Roman" w:hAnsi="Times New Roman" w:cs="Times New Roman"/>
          <w:color w:val="000000" w:themeColor="text1"/>
          <w:sz w:val="24"/>
          <w:szCs w:val="24"/>
        </w:rPr>
        <w:t>.</w:t>
      </w:r>
      <w:r w:rsidR="001D3428">
        <w:rPr>
          <w:rFonts w:ascii="Times New Roman" w:hAnsi="Times New Roman" w:cs="Times New Roman"/>
          <w:color w:val="000000" w:themeColor="text1"/>
          <w:sz w:val="24"/>
          <w:szCs w:val="24"/>
        </w:rPr>
        <w:t>89</w:t>
      </w:r>
      <w:r w:rsidRPr="002944E9">
        <w:rPr>
          <w:rFonts w:ascii="Times New Roman" w:hAnsi="Times New Roman" w:cs="Times New Roman"/>
          <w:color w:val="000000" w:themeColor="text1"/>
          <w:sz w:val="24"/>
          <w:szCs w:val="24"/>
        </w:rPr>
        <w:t>, t = -</w:t>
      </w:r>
      <w:r w:rsidR="00A70522">
        <w:rPr>
          <w:rFonts w:ascii="Times New Roman" w:hAnsi="Times New Roman" w:cs="Times New Roman"/>
          <w:color w:val="000000" w:themeColor="text1"/>
          <w:sz w:val="24"/>
          <w:szCs w:val="24"/>
        </w:rPr>
        <w:t>9</w:t>
      </w:r>
      <w:r w:rsidRPr="002944E9">
        <w:rPr>
          <w:rFonts w:ascii="Times New Roman" w:hAnsi="Times New Roman" w:cs="Times New Roman"/>
          <w:color w:val="000000" w:themeColor="text1"/>
          <w:sz w:val="24"/>
          <w:szCs w:val="24"/>
        </w:rPr>
        <w:t>.</w:t>
      </w:r>
      <w:r w:rsidR="00FD4234">
        <w:rPr>
          <w:rFonts w:ascii="Times New Roman" w:hAnsi="Times New Roman" w:cs="Times New Roman"/>
          <w:color w:val="000000" w:themeColor="text1"/>
          <w:sz w:val="24"/>
          <w:szCs w:val="24"/>
        </w:rPr>
        <w:t>1</w:t>
      </w:r>
      <w:r w:rsidR="00A70522">
        <w:rPr>
          <w:rFonts w:ascii="Times New Roman" w:hAnsi="Times New Roman" w:cs="Times New Roman"/>
          <w:color w:val="000000" w:themeColor="text1"/>
          <w:sz w:val="24"/>
          <w:szCs w:val="24"/>
        </w:rPr>
        <w:t>6</w:t>
      </w:r>
      <w:r w:rsidRPr="002944E9">
        <w:rPr>
          <w:rFonts w:ascii="Times New Roman" w:hAnsi="Times New Roman" w:cs="Times New Roman"/>
          <w:color w:val="000000" w:themeColor="text1"/>
          <w:sz w:val="24"/>
          <w:szCs w:val="24"/>
        </w:rPr>
        <w:t xml:space="preserve">, p &lt; .001). This indicates that students' NOCA results fall below the national competence rate standard established by AOCACA (2020). Similarly, the mean value </w:t>
      </w:r>
      <w:r w:rsidRPr="002944E9">
        <w:rPr>
          <w:rFonts w:ascii="Times New Roman" w:hAnsi="Times New Roman" w:cs="Times New Roman"/>
          <w:color w:val="000000" w:themeColor="text1"/>
          <w:sz w:val="24"/>
          <w:szCs w:val="24"/>
        </w:rPr>
        <w:lastRenderedPageBreak/>
        <w:t xml:space="preserve">of ROCA was determined to be significantly lower than the expected mean (M= </w:t>
      </w:r>
      <w:r w:rsidR="001D3428">
        <w:rPr>
          <w:rFonts w:ascii="Times New Roman" w:hAnsi="Times New Roman" w:cs="Times New Roman"/>
          <w:color w:val="000000" w:themeColor="text1"/>
          <w:sz w:val="24"/>
          <w:szCs w:val="24"/>
        </w:rPr>
        <w:t>45</w:t>
      </w:r>
      <w:r w:rsidRPr="002944E9">
        <w:rPr>
          <w:rFonts w:ascii="Times New Roman" w:hAnsi="Times New Roman" w:cs="Times New Roman"/>
          <w:color w:val="000000" w:themeColor="text1"/>
          <w:sz w:val="24"/>
          <w:szCs w:val="24"/>
        </w:rPr>
        <w:t>.</w:t>
      </w:r>
      <w:r w:rsidR="001D3428">
        <w:rPr>
          <w:rFonts w:ascii="Times New Roman" w:hAnsi="Times New Roman" w:cs="Times New Roman"/>
          <w:color w:val="000000" w:themeColor="text1"/>
          <w:sz w:val="24"/>
          <w:szCs w:val="24"/>
        </w:rPr>
        <w:t>08</w:t>
      </w:r>
      <w:r w:rsidRPr="002944E9">
        <w:rPr>
          <w:rFonts w:ascii="Times New Roman" w:hAnsi="Times New Roman" w:cs="Times New Roman"/>
          <w:color w:val="000000" w:themeColor="text1"/>
          <w:sz w:val="24"/>
          <w:szCs w:val="24"/>
        </w:rPr>
        <w:t xml:space="preserve">, SD= </w:t>
      </w:r>
      <w:r w:rsidR="001D3428">
        <w:rPr>
          <w:rFonts w:ascii="Times New Roman" w:hAnsi="Times New Roman" w:cs="Times New Roman"/>
          <w:color w:val="000000" w:themeColor="text1"/>
          <w:sz w:val="24"/>
          <w:szCs w:val="24"/>
        </w:rPr>
        <w:t>18</w:t>
      </w:r>
      <w:r w:rsidRPr="002944E9">
        <w:rPr>
          <w:rFonts w:ascii="Times New Roman" w:hAnsi="Times New Roman" w:cs="Times New Roman"/>
          <w:color w:val="000000" w:themeColor="text1"/>
          <w:sz w:val="24"/>
          <w:szCs w:val="24"/>
        </w:rPr>
        <w:t>.</w:t>
      </w:r>
      <w:r w:rsidR="001D3428">
        <w:rPr>
          <w:rFonts w:ascii="Times New Roman" w:hAnsi="Times New Roman" w:cs="Times New Roman"/>
          <w:color w:val="000000" w:themeColor="text1"/>
          <w:sz w:val="24"/>
          <w:szCs w:val="24"/>
        </w:rPr>
        <w:t>9</w:t>
      </w:r>
      <w:r w:rsidR="00A70522">
        <w:rPr>
          <w:rFonts w:ascii="Times New Roman" w:hAnsi="Times New Roman" w:cs="Times New Roman"/>
          <w:color w:val="000000" w:themeColor="text1"/>
          <w:sz w:val="24"/>
          <w:szCs w:val="24"/>
        </w:rPr>
        <w:t>9</w:t>
      </w:r>
      <w:r w:rsidRPr="002944E9">
        <w:rPr>
          <w:rFonts w:ascii="Times New Roman" w:hAnsi="Times New Roman" w:cs="Times New Roman"/>
          <w:color w:val="000000" w:themeColor="text1"/>
          <w:sz w:val="24"/>
          <w:szCs w:val="24"/>
        </w:rPr>
        <w:t>, t = -</w:t>
      </w:r>
      <w:r w:rsidR="001D3428">
        <w:rPr>
          <w:rFonts w:ascii="Times New Roman" w:hAnsi="Times New Roman" w:cs="Times New Roman"/>
          <w:color w:val="000000" w:themeColor="text1"/>
          <w:sz w:val="24"/>
          <w:szCs w:val="24"/>
        </w:rPr>
        <w:t>3</w:t>
      </w:r>
      <w:r w:rsidRPr="002944E9">
        <w:rPr>
          <w:rFonts w:ascii="Times New Roman" w:hAnsi="Times New Roman" w:cs="Times New Roman"/>
          <w:color w:val="000000" w:themeColor="text1"/>
          <w:sz w:val="24"/>
          <w:szCs w:val="24"/>
        </w:rPr>
        <w:t>.</w:t>
      </w:r>
      <w:r w:rsidR="001D3428">
        <w:rPr>
          <w:rFonts w:ascii="Times New Roman" w:hAnsi="Times New Roman" w:cs="Times New Roman"/>
          <w:color w:val="000000" w:themeColor="text1"/>
          <w:sz w:val="24"/>
          <w:szCs w:val="24"/>
        </w:rPr>
        <w:t>31</w:t>
      </w:r>
      <w:r w:rsidRPr="002944E9">
        <w:rPr>
          <w:rFonts w:ascii="Times New Roman" w:hAnsi="Times New Roman" w:cs="Times New Roman"/>
          <w:color w:val="000000" w:themeColor="text1"/>
          <w:sz w:val="24"/>
          <w:szCs w:val="24"/>
        </w:rPr>
        <w:t>, p &lt; .001). These findings highlight that students' ROCA competence is below the established competence rate standard by FTA (2014).</w:t>
      </w:r>
      <w:r w:rsidR="001D3428">
        <w:rPr>
          <w:rFonts w:ascii="Times New Roman" w:hAnsi="Times New Roman" w:cs="Times New Roman"/>
          <w:color w:val="000000" w:themeColor="text1"/>
          <w:sz w:val="24"/>
          <w:szCs w:val="24"/>
        </w:rPr>
        <w:t xml:space="preserve"> </w:t>
      </w:r>
    </w:p>
    <w:p w14:paraId="04B55156" w14:textId="5EF5F850" w:rsidR="00F20217" w:rsidRDefault="00B50DC0" w:rsidP="00461530">
      <w:pPr>
        <w:spacing w:before="100" w:beforeAutospacing="1" w:after="100" w:afterAutospacing="1"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w:t>
      </w:r>
      <w:r w:rsidRPr="002944E9">
        <w:rPr>
          <w:rFonts w:ascii="Times New Roman" w:hAnsi="Times New Roman" w:cs="Times New Roman"/>
          <w:color w:val="000000"/>
          <w:sz w:val="24"/>
          <w:szCs w:val="24"/>
        </w:rPr>
        <w:t xml:space="preserve">hese findings are consistent with, the </w:t>
      </w:r>
      <w:r w:rsidRPr="002944E9">
        <w:rPr>
          <w:rFonts w:ascii="Times New Roman" w:hAnsi="Times New Roman" w:cs="Times New Roman"/>
          <w:sz w:val="24"/>
          <w:szCs w:val="24"/>
        </w:rPr>
        <w:t>Ethiopian students’ level of achievement in university entrance exams was low</w:t>
      </w:r>
      <w:r w:rsidR="005964B3">
        <w:rPr>
          <w:rFonts w:ascii="Times New Roman" w:hAnsi="Times New Roman" w:cs="Times New Roman"/>
          <w:sz w:val="24"/>
          <w:szCs w:val="24"/>
        </w:rPr>
        <w:t xml:space="preserve"> </w:t>
      </w:r>
      <w:r w:rsidR="005964B3" w:rsidRPr="009B0034">
        <w:rPr>
          <w:rFonts w:ascii="Times New Roman" w:hAnsi="Times New Roman" w:cs="Times New Roman"/>
          <w:color w:val="000000"/>
          <w:sz w:val="24"/>
          <w:szCs w:val="24"/>
        </w:rPr>
        <w:t>(Hawa, 2023; Mulu, 2012)</w:t>
      </w:r>
      <w:r w:rsidRPr="009B0034">
        <w:rPr>
          <w:rFonts w:ascii="Times New Roman" w:hAnsi="Times New Roman" w:cs="Times New Roman"/>
          <w:color w:val="222222"/>
          <w:sz w:val="24"/>
          <w:szCs w:val="24"/>
          <w:shd w:val="clear" w:color="auto" w:fill="FFFFFF"/>
        </w:rPr>
        <w:t xml:space="preserve"> (Hawa,</w:t>
      </w:r>
      <w:r w:rsidR="009371A3" w:rsidRPr="009B0034">
        <w:rPr>
          <w:rFonts w:ascii="Times New Roman" w:hAnsi="Times New Roman" w:cs="Times New Roman"/>
          <w:color w:val="222222"/>
          <w:sz w:val="24"/>
          <w:szCs w:val="24"/>
          <w:shd w:val="clear" w:color="auto" w:fill="FFFFFF"/>
        </w:rPr>
        <w:t xml:space="preserve"> </w:t>
      </w:r>
      <w:r w:rsidRPr="009B0034">
        <w:rPr>
          <w:rFonts w:ascii="Times New Roman" w:hAnsi="Times New Roman" w:cs="Times New Roman"/>
          <w:color w:val="222222"/>
          <w:sz w:val="24"/>
          <w:szCs w:val="24"/>
          <w:shd w:val="clear" w:color="auto" w:fill="FFFFFF"/>
        </w:rPr>
        <w:t>2023</w:t>
      </w:r>
      <w:r w:rsidRPr="009B0034">
        <w:rPr>
          <w:rFonts w:ascii="Times New Roman" w:hAnsi="Times New Roman" w:cs="Times New Roman"/>
          <w:sz w:val="24"/>
          <w:szCs w:val="24"/>
        </w:rPr>
        <w:t>; Mulu</w:t>
      </w:r>
      <w:r w:rsidRPr="009B0034">
        <w:rPr>
          <w:rFonts w:ascii="Times New Roman" w:hAnsi="Times New Roman" w:cs="Times New Roman"/>
          <w:color w:val="222222"/>
          <w:sz w:val="24"/>
          <w:szCs w:val="24"/>
          <w:shd w:val="clear" w:color="auto" w:fill="FFFFFF"/>
        </w:rPr>
        <w:t>,2012).</w:t>
      </w:r>
      <w:r w:rsidRPr="002944E9">
        <w:rPr>
          <w:rFonts w:ascii="Times New Roman" w:hAnsi="Times New Roman" w:cs="Times New Roman"/>
          <w:color w:val="000000"/>
          <w:sz w:val="24"/>
          <w:szCs w:val="24"/>
        </w:rPr>
        <w:t xml:space="preserve"> The results emphasize the need to address the discrepancies </w:t>
      </w:r>
      <w:r w:rsidRPr="002944E9">
        <w:rPr>
          <w:rFonts w:ascii="Times New Roman" w:hAnsi="Times New Roman" w:cs="Times New Roman"/>
          <w:color w:val="000000"/>
          <w:sz w:val="24"/>
          <w:szCs w:val="24"/>
        </w:rPr>
        <w:t>between the expected and observed competence levels across the various assessments in TVET education.</w:t>
      </w:r>
    </w:p>
    <w:p w14:paraId="56A8AD5F" w14:textId="6C8C9109" w:rsidR="00DE5CBF" w:rsidRPr="00765BC4" w:rsidRDefault="00DE5CBF" w:rsidP="00461530">
      <w:pPr>
        <w:pStyle w:val="ListParagraph"/>
        <w:numPr>
          <w:ilvl w:val="1"/>
          <w:numId w:val="23"/>
        </w:numPr>
        <w:spacing w:before="120" w:after="120" w:line="276" w:lineRule="auto"/>
        <w:jc w:val="both"/>
        <w:rPr>
          <w:rFonts w:ascii="Times New Roman" w:hAnsi="Times New Roman" w:cs="Times New Roman"/>
          <w:b/>
          <w:sz w:val="24"/>
          <w:szCs w:val="24"/>
        </w:rPr>
      </w:pPr>
      <w:r w:rsidRPr="00765BC4">
        <w:rPr>
          <w:rFonts w:ascii="Times New Roman" w:hAnsi="Times New Roman" w:cs="Times New Roman"/>
          <w:b/>
          <w:sz w:val="24"/>
          <w:szCs w:val="24"/>
        </w:rPr>
        <w:t>Comparisons of competence among private college students: IOCA versus NOCA, IOCA versus ROCA, NOCA versus ROCA.</w:t>
      </w:r>
    </w:p>
    <w:p w14:paraId="128A7351" w14:textId="01162324" w:rsidR="0092417F" w:rsidRPr="00405DB6" w:rsidRDefault="00DE5CBF" w:rsidP="00461530">
      <w:pPr>
        <w:spacing w:after="100" w:afterAutospacing="1" w:line="276" w:lineRule="auto"/>
        <w:jc w:val="both"/>
        <w:rPr>
          <w:rFonts w:ascii="Times New Roman" w:hAnsi="Times New Roman" w:cs="Times New Roman"/>
          <w:b/>
          <w:sz w:val="24"/>
          <w:szCs w:val="24"/>
        </w:rPr>
      </w:pPr>
      <w:r w:rsidRPr="0047386B">
        <w:rPr>
          <w:rFonts w:ascii="Times New Roman" w:eastAsia="Times New Roman" w:hAnsi="Times New Roman" w:cs="Times New Roman"/>
          <w:sz w:val="24"/>
          <w:szCs w:val="24"/>
        </w:rPr>
        <w:t>A series of paired sample t-tests were conducted to examine the differences between three paired variables: IOCA to NOCA, IOCA to ROCA, and NOCA to ROCA.</w:t>
      </w:r>
    </w:p>
    <w:p w14:paraId="3461D9CF" w14:textId="77777777" w:rsidR="00A36470" w:rsidRDefault="00A36470" w:rsidP="00765BC4">
      <w:pPr>
        <w:spacing w:before="100" w:beforeAutospacing="1" w:after="0" w:line="276" w:lineRule="auto"/>
        <w:jc w:val="both"/>
        <w:rPr>
          <w:rFonts w:ascii="Times New Roman" w:hAnsi="Times New Roman" w:cs="Times New Roman"/>
          <w:sz w:val="24"/>
          <w:szCs w:val="24"/>
        </w:rPr>
        <w:sectPr w:rsidR="00A36470" w:rsidSect="00A36470">
          <w:type w:val="continuous"/>
          <w:pgSz w:w="12240" w:h="15840"/>
          <w:pgMar w:top="1170" w:right="990" w:bottom="1170" w:left="990" w:header="720" w:footer="720" w:gutter="0"/>
          <w:cols w:num="2" w:space="720"/>
          <w:docGrid w:linePitch="360"/>
        </w:sectPr>
      </w:pPr>
    </w:p>
    <w:p w14:paraId="6476A88A" w14:textId="27B3B635" w:rsidR="0092417F" w:rsidRPr="00765BC4" w:rsidRDefault="0092417F" w:rsidP="00765BC4">
      <w:pPr>
        <w:spacing w:before="100" w:beforeAutospacing="1" w:after="0" w:line="276" w:lineRule="auto"/>
        <w:jc w:val="both"/>
        <w:rPr>
          <w:rFonts w:ascii="Times New Roman" w:hAnsi="Times New Roman" w:cs="Times New Roman"/>
          <w:bCs/>
          <w:sz w:val="24"/>
          <w:szCs w:val="24"/>
        </w:rPr>
      </w:pPr>
      <w:r w:rsidRPr="00765BC4">
        <w:rPr>
          <w:rFonts w:ascii="Times New Roman" w:hAnsi="Times New Roman" w:cs="Times New Roman"/>
          <w:sz w:val="24"/>
          <w:szCs w:val="24"/>
        </w:rPr>
        <w:t xml:space="preserve">Table </w:t>
      </w:r>
      <w:r w:rsidR="00405DB6" w:rsidRPr="00765BC4">
        <w:rPr>
          <w:rFonts w:ascii="Times New Roman" w:hAnsi="Times New Roman" w:cs="Times New Roman"/>
          <w:sz w:val="24"/>
          <w:szCs w:val="24"/>
        </w:rPr>
        <w:t>2</w:t>
      </w:r>
      <w:r w:rsidRPr="00765BC4">
        <w:rPr>
          <w:rFonts w:ascii="Times New Roman" w:hAnsi="Times New Roman" w:cs="Times New Roman"/>
          <w:sz w:val="24"/>
          <w:szCs w:val="24"/>
        </w:rPr>
        <w:t xml:space="preserve">. </w:t>
      </w:r>
      <w:r w:rsidR="004C02DB" w:rsidRPr="00765BC4">
        <w:rPr>
          <w:rFonts w:ascii="Times New Roman" w:hAnsi="Times New Roman" w:cs="Times New Roman"/>
          <w:sz w:val="24"/>
          <w:szCs w:val="24"/>
        </w:rPr>
        <w:t xml:space="preserve"> </w:t>
      </w:r>
      <w:r w:rsidR="004C02DB" w:rsidRPr="00765BC4">
        <w:rPr>
          <w:rFonts w:ascii="Times New Roman" w:hAnsi="Times New Roman" w:cs="Times New Roman"/>
          <w:bCs/>
          <w:sz w:val="24"/>
          <w:szCs w:val="24"/>
        </w:rPr>
        <w:t xml:space="preserve">Comparisons of </w:t>
      </w:r>
      <w:r w:rsidR="00DE5CBF" w:rsidRPr="00765BC4">
        <w:rPr>
          <w:rFonts w:ascii="Times New Roman" w:hAnsi="Times New Roman" w:cs="Times New Roman"/>
          <w:bCs/>
          <w:sz w:val="24"/>
          <w:szCs w:val="24"/>
        </w:rPr>
        <w:t>students’</w:t>
      </w:r>
      <w:r w:rsidR="004C02DB" w:rsidRPr="00765BC4">
        <w:rPr>
          <w:rFonts w:ascii="Times New Roman" w:hAnsi="Times New Roman" w:cs="Times New Roman"/>
          <w:bCs/>
          <w:sz w:val="24"/>
          <w:szCs w:val="24"/>
        </w:rPr>
        <w:t xml:space="preserve"> </w:t>
      </w:r>
      <w:r w:rsidRPr="00765BC4">
        <w:rPr>
          <w:rFonts w:ascii="Times New Roman" w:hAnsi="Times New Roman" w:cs="Times New Roman"/>
          <w:bCs/>
          <w:sz w:val="24"/>
          <w:szCs w:val="24"/>
        </w:rPr>
        <w:t xml:space="preserve">competence </w:t>
      </w:r>
      <w:r w:rsidR="004C02DB" w:rsidRPr="00765BC4">
        <w:rPr>
          <w:rFonts w:ascii="Times New Roman" w:hAnsi="Times New Roman" w:cs="Times New Roman"/>
          <w:bCs/>
          <w:sz w:val="24"/>
          <w:szCs w:val="24"/>
        </w:rPr>
        <w:t>among IOCA</w:t>
      </w:r>
      <w:r w:rsidRPr="00765BC4">
        <w:rPr>
          <w:rFonts w:ascii="Times New Roman" w:hAnsi="Times New Roman" w:cs="Times New Roman"/>
          <w:bCs/>
          <w:sz w:val="24"/>
          <w:szCs w:val="24"/>
        </w:rPr>
        <w:t xml:space="preserve"> versus NOCA, IOCA versus ROCA, NOCA versus ROCA.</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1260"/>
        <w:gridCol w:w="1440"/>
        <w:gridCol w:w="1170"/>
        <w:gridCol w:w="928"/>
        <w:gridCol w:w="1426"/>
        <w:gridCol w:w="1421"/>
      </w:tblGrid>
      <w:tr w:rsidR="00E67F05" w:rsidRPr="000D34D2" w14:paraId="17F65A6C" w14:textId="52266F41" w:rsidTr="00765BC4">
        <w:trPr>
          <w:jc w:val="center"/>
        </w:trPr>
        <w:tc>
          <w:tcPr>
            <w:tcW w:w="7664" w:type="dxa"/>
            <w:gridSpan w:val="6"/>
            <w:tcBorders>
              <w:bottom w:val="single" w:sz="4" w:space="0" w:color="auto"/>
            </w:tcBorders>
          </w:tcPr>
          <w:p w14:paraId="5A054A0A" w14:textId="23554A5C" w:rsidR="00E67F05" w:rsidRPr="000D34D2" w:rsidRDefault="00E67F05" w:rsidP="00635864">
            <w:pPr>
              <w:rPr>
                <w:rFonts w:ascii="Times New Roman" w:hAnsi="Times New Roman" w:cs="Times New Roman"/>
                <w:sz w:val="24"/>
                <w:szCs w:val="24"/>
              </w:rPr>
            </w:pPr>
            <w:r w:rsidRPr="000D34D2">
              <w:rPr>
                <w:rFonts w:ascii="Times New Roman" w:hAnsi="Times New Roman" w:cs="Times New Roman"/>
                <w:sz w:val="24"/>
                <w:szCs w:val="24"/>
              </w:rPr>
              <w:t xml:space="preserve">                                                            Paired Samples </w:t>
            </w:r>
            <w:proofErr w:type="spellStart"/>
            <w:r w:rsidR="000D34D2" w:rsidRPr="000D34D2">
              <w:rPr>
                <w:rFonts w:ascii="Times New Roman" w:hAnsi="Times New Roman" w:cs="Times New Roman"/>
                <w:sz w:val="24"/>
                <w:szCs w:val="24"/>
              </w:rPr>
              <w:t>t</w:t>
            </w:r>
            <w:proofErr w:type="spellEnd"/>
            <w:r w:rsidR="000D34D2" w:rsidRPr="000D34D2">
              <w:rPr>
                <w:rFonts w:ascii="Times New Roman" w:hAnsi="Times New Roman" w:cs="Times New Roman"/>
                <w:sz w:val="24"/>
                <w:szCs w:val="24"/>
              </w:rPr>
              <w:t xml:space="preserve"> </w:t>
            </w:r>
            <w:r w:rsidR="000D34D2">
              <w:rPr>
                <w:rFonts w:ascii="Times New Roman" w:hAnsi="Times New Roman" w:cs="Times New Roman"/>
                <w:sz w:val="24"/>
                <w:szCs w:val="24"/>
              </w:rPr>
              <w:t>test</w:t>
            </w:r>
          </w:p>
        </w:tc>
        <w:tc>
          <w:tcPr>
            <w:tcW w:w="1421" w:type="dxa"/>
            <w:tcBorders>
              <w:bottom w:val="single" w:sz="4" w:space="0" w:color="auto"/>
            </w:tcBorders>
          </w:tcPr>
          <w:p w14:paraId="2786F7B7" w14:textId="77777777" w:rsidR="00E67F05" w:rsidRPr="000D34D2" w:rsidRDefault="00E67F05" w:rsidP="00635864">
            <w:pPr>
              <w:rPr>
                <w:rFonts w:ascii="Times New Roman" w:hAnsi="Times New Roman" w:cs="Times New Roman"/>
                <w:sz w:val="20"/>
                <w:szCs w:val="20"/>
              </w:rPr>
            </w:pPr>
          </w:p>
        </w:tc>
      </w:tr>
      <w:tr w:rsidR="00E67F05" w:rsidRPr="000D34D2" w14:paraId="034A3E73" w14:textId="7FD9FEEB" w:rsidTr="00765BC4">
        <w:trPr>
          <w:jc w:val="center"/>
        </w:trPr>
        <w:tc>
          <w:tcPr>
            <w:tcW w:w="1440" w:type="dxa"/>
            <w:tcBorders>
              <w:top w:val="single" w:sz="4" w:space="0" w:color="auto"/>
              <w:bottom w:val="single" w:sz="4" w:space="0" w:color="auto"/>
            </w:tcBorders>
          </w:tcPr>
          <w:p w14:paraId="60F78D37" w14:textId="77777777" w:rsidR="00E67F05" w:rsidRPr="000D34D2" w:rsidRDefault="00E67F05" w:rsidP="00635864">
            <w:pPr>
              <w:rPr>
                <w:rFonts w:ascii="Times New Roman" w:hAnsi="Times New Roman" w:cs="Times New Roman"/>
                <w:sz w:val="24"/>
                <w:szCs w:val="24"/>
              </w:rPr>
            </w:pPr>
          </w:p>
        </w:tc>
        <w:tc>
          <w:tcPr>
            <w:tcW w:w="1260" w:type="dxa"/>
            <w:tcBorders>
              <w:top w:val="single" w:sz="4" w:space="0" w:color="auto"/>
              <w:bottom w:val="single" w:sz="4" w:space="0" w:color="auto"/>
            </w:tcBorders>
          </w:tcPr>
          <w:p w14:paraId="13F168BA" w14:textId="77777777" w:rsidR="00E67F05" w:rsidRPr="000D34D2" w:rsidRDefault="00E67F05" w:rsidP="00635864">
            <w:pPr>
              <w:rPr>
                <w:rFonts w:ascii="Times New Roman" w:hAnsi="Times New Roman" w:cs="Times New Roman"/>
                <w:sz w:val="24"/>
                <w:szCs w:val="24"/>
              </w:rPr>
            </w:pPr>
            <w:r w:rsidRPr="000D34D2">
              <w:rPr>
                <w:rFonts w:ascii="Times New Roman" w:hAnsi="Times New Roman" w:cs="Times New Roman"/>
                <w:sz w:val="24"/>
                <w:szCs w:val="24"/>
              </w:rPr>
              <w:t xml:space="preserve">Mean </w:t>
            </w:r>
          </w:p>
        </w:tc>
        <w:tc>
          <w:tcPr>
            <w:tcW w:w="1440" w:type="dxa"/>
            <w:tcBorders>
              <w:top w:val="single" w:sz="4" w:space="0" w:color="auto"/>
              <w:bottom w:val="single" w:sz="4" w:space="0" w:color="auto"/>
            </w:tcBorders>
          </w:tcPr>
          <w:p w14:paraId="2F4B50B5" w14:textId="77777777" w:rsidR="00E67F05" w:rsidRPr="000D34D2" w:rsidRDefault="00E67F05" w:rsidP="00635864">
            <w:pPr>
              <w:rPr>
                <w:rFonts w:ascii="Times New Roman" w:hAnsi="Times New Roman" w:cs="Times New Roman"/>
                <w:sz w:val="24"/>
                <w:szCs w:val="24"/>
              </w:rPr>
            </w:pPr>
            <w:r w:rsidRPr="00EA209A">
              <w:rPr>
                <w:rFonts w:ascii="Times New Roman" w:hAnsi="Times New Roman" w:cs="Times New Roman"/>
                <w:color w:val="264A60"/>
                <w:sz w:val="24"/>
                <w:szCs w:val="24"/>
              </w:rPr>
              <w:t>Std. Deviation</w:t>
            </w:r>
          </w:p>
        </w:tc>
        <w:tc>
          <w:tcPr>
            <w:tcW w:w="1170" w:type="dxa"/>
            <w:tcBorders>
              <w:top w:val="single" w:sz="4" w:space="0" w:color="auto"/>
              <w:bottom w:val="single" w:sz="4" w:space="0" w:color="auto"/>
            </w:tcBorders>
          </w:tcPr>
          <w:p w14:paraId="7763FEE0" w14:textId="77777777" w:rsidR="00E67F05" w:rsidRPr="000D34D2" w:rsidRDefault="00E67F05" w:rsidP="00635864">
            <w:pPr>
              <w:rPr>
                <w:rFonts w:ascii="Times New Roman" w:hAnsi="Times New Roman" w:cs="Times New Roman"/>
                <w:sz w:val="24"/>
                <w:szCs w:val="24"/>
              </w:rPr>
            </w:pPr>
            <w:r w:rsidRPr="000D34D2">
              <w:rPr>
                <w:rFonts w:ascii="Times New Roman" w:hAnsi="Times New Roman" w:cs="Times New Roman"/>
                <w:sz w:val="24"/>
                <w:szCs w:val="24"/>
              </w:rPr>
              <w:t>t</w:t>
            </w:r>
          </w:p>
        </w:tc>
        <w:tc>
          <w:tcPr>
            <w:tcW w:w="928" w:type="dxa"/>
            <w:tcBorders>
              <w:top w:val="single" w:sz="4" w:space="0" w:color="auto"/>
              <w:bottom w:val="single" w:sz="4" w:space="0" w:color="auto"/>
            </w:tcBorders>
          </w:tcPr>
          <w:p w14:paraId="5235D062" w14:textId="77777777" w:rsidR="00E67F05" w:rsidRPr="000D34D2" w:rsidRDefault="00E67F05" w:rsidP="00635864">
            <w:pPr>
              <w:rPr>
                <w:rFonts w:ascii="Times New Roman" w:hAnsi="Times New Roman" w:cs="Times New Roman"/>
                <w:sz w:val="24"/>
                <w:szCs w:val="24"/>
              </w:rPr>
            </w:pPr>
            <w:proofErr w:type="spellStart"/>
            <w:r w:rsidRPr="000D34D2">
              <w:rPr>
                <w:rFonts w:ascii="Times New Roman" w:hAnsi="Times New Roman" w:cs="Times New Roman"/>
                <w:sz w:val="24"/>
                <w:szCs w:val="24"/>
              </w:rPr>
              <w:t>df</w:t>
            </w:r>
            <w:proofErr w:type="spellEnd"/>
            <w:r w:rsidRPr="000D34D2">
              <w:rPr>
                <w:rFonts w:ascii="Times New Roman" w:hAnsi="Times New Roman" w:cs="Times New Roman"/>
                <w:sz w:val="24"/>
                <w:szCs w:val="24"/>
              </w:rPr>
              <w:t xml:space="preserve"> </w:t>
            </w:r>
          </w:p>
        </w:tc>
        <w:tc>
          <w:tcPr>
            <w:tcW w:w="1426" w:type="dxa"/>
            <w:tcBorders>
              <w:top w:val="single" w:sz="4" w:space="0" w:color="auto"/>
              <w:bottom w:val="single" w:sz="4" w:space="0" w:color="auto"/>
            </w:tcBorders>
          </w:tcPr>
          <w:p w14:paraId="758826ED" w14:textId="77777777" w:rsidR="00E67F05" w:rsidRPr="000D34D2" w:rsidRDefault="00E67F05" w:rsidP="00635864">
            <w:pPr>
              <w:rPr>
                <w:rFonts w:ascii="Times New Roman" w:hAnsi="Times New Roman" w:cs="Times New Roman"/>
                <w:sz w:val="24"/>
                <w:szCs w:val="24"/>
              </w:rPr>
            </w:pPr>
            <w:r w:rsidRPr="000D34D2">
              <w:rPr>
                <w:rFonts w:ascii="Times New Roman" w:hAnsi="Times New Roman" w:cs="Times New Roman"/>
                <w:sz w:val="24"/>
                <w:szCs w:val="24"/>
              </w:rPr>
              <w:t xml:space="preserve">Sig </w:t>
            </w:r>
          </w:p>
        </w:tc>
        <w:tc>
          <w:tcPr>
            <w:tcW w:w="1421" w:type="dxa"/>
            <w:tcBorders>
              <w:top w:val="single" w:sz="4" w:space="0" w:color="auto"/>
              <w:bottom w:val="single" w:sz="4" w:space="0" w:color="auto"/>
            </w:tcBorders>
          </w:tcPr>
          <w:p w14:paraId="69157C99" w14:textId="3CF919E5" w:rsidR="00E67F05" w:rsidRPr="000D34D2" w:rsidRDefault="00E67F05" w:rsidP="00635864">
            <w:pPr>
              <w:rPr>
                <w:rFonts w:ascii="Times New Roman" w:hAnsi="Times New Roman" w:cs="Times New Roman"/>
                <w:sz w:val="24"/>
                <w:szCs w:val="24"/>
              </w:rPr>
            </w:pPr>
            <w:r w:rsidRPr="000D34D2">
              <w:rPr>
                <w:rFonts w:ascii="Times New Roman" w:hAnsi="Times New Roman" w:cs="Times New Roman"/>
                <w:sz w:val="24"/>
                <w:szCs w:val="24"/>
              </w:rPr>
              <w:t>D (effect size)</w:t>
            </w:r>
          </w:p>
        </w:tc>
      </w:tr>
      <w:tr w:rsidR="00E67F05" w:rsidRPr="000D34D2" w14:paraId="3FC076B1" w14:textId="7859E3E7" w:rsidTr="00765BC4">
        <w:trPr>
          <w:jc w:val="center"/>
        </w:trPr>
        <w:tc>
          <w:tcPr>
            <w:tcW w:w="1440" w:type="dxa"/>
            <w:tcBorders>
              <w:top w:val="single" w:sz="4" w:space="0" w:color="auto"/>
            </w:tcBorders>
          </w:tcPr>
          <w:p w14:paraId="524A6811" w14:textId="77777777" w:rsidR="00E67F05" w:rsidRPr="000D34D2" w:rsidRDefault="00E67F05" w:rsidP="00635864">
            <w:pPr>
              <w:rPr>
                <w:rFonts w:ascii="Times New Roman" w:hAnsi="Times New Roman" w:cs="Times New Roman"/>
                <w:sz w:val="20"/>
                <w:szCs w:val="20"/>
              </w:rPr>
            </w:pPr>
            <w:r w:rsidRPr="000D34D2">
              <w:rPr>
                <w:rFonts w:ascii="Times New Roman" w:hAnsi="Times New Roman" w:cs="Times New Roman"/>
                <w:sz w:val="20"/>
                <w:szCs w:val="20"/>
              </w:rPr>
              <w:t>IOCA - NOCA</w:t>
            </w:r>
          </w:p>
        </w:tc>
        <w:tc>
          <w:tcPr>
            <w:tcW w:w="1260" w:type="dxa"/>
            <w:tcBorders>
              <w:top w:val="single" w:sz="4" w:space="0" w:color="auto"/>
            </w:tcBorders>
          </w:tcPr>
          <w:p w14:paraId="0B87270D" w14:textId="6A173917" w:rsidR="00E67F05" w:rsidRPr="000D34D2" w:rsidRDefault="00E67F05" w:rsidP="00635864">
            <w:pPr>
              <w:rPr>
                <w:rFonts w:ascii="Times New Roman" w:hAnsi="Times New Roman" w:cs="Times New Roman"/>
                <w:sz w:val="24"/>
                <w:szCs w:val="24"/>
              </w:rPr>
            </w:pPr>
            <w:r w:rsidRPr="000D34D2">
              <w:rPr>
                <w:rFonts w:ascii="Times New Roman" w:hAnsi="Times New Roman" w:cs="Times New Roman"/>
                <w:sz w:val="24"/>
                <w:szCs w:val="24"/>
              </w:rPr>
              <w:t>37.41</w:t>
            </w:r>
          </w:p>
        </w:tc>
        <w:tc>
          <w:tcPr>
            <w:tcW w:w="1440" w:type="dxa"/>
            <w:tcBorders>
              <w:top w:val="single" w:sz="4" w:space="0" w:color="auto"/>
            </w:tcBorders>
          </w:tcPr>
          <w:p w14:paraId="5AF1E427" w14:textId="721F5378" w:rsidR="00E67F05" w:rsidRPr="000D34D2" w:rsidRDefault="00E67F05" w:rsidP="00635864">
            <w:pPr>
              <w:rPr>
                <w:rFonts w:ascii="Times New Roman" w:hAnsi="Times New Roman" w:cs="Times New Roman"/>
                <w:sz w:val="24"/>
                <w:szCs w:val="24"/>
              </w:rPr>
            </w:pPr>
            <w:r w:rsidRPr="000D34D2">
              <w:rPr>
                <w:rFonts w:ascii="Times New Roman" w:hAnsi="Times New Roman" w:cs="Times New Roman"/>
                <w:sz w:val="24"/>
                <w:szCs w:val="24"/>
              </w:rPr>
              <w:t>28.55</w:t>
            </w:r>
          </w:p>
        </w:tc>
        <w:tc>
          <w:tcPr>
            <w:tcW w:w="1170" w:type="dxa"/>
            <w:tcBorders>
              <w:top w:val="single" w:sz="4" w:space="0" w:color="auto"/>
            </w:tcBorders>
          </w:tcPr>
          <w:p w14:paraId="0CCAA27C" w14:textId="77777777" w:rsidR="00E67F05" w:rsidRPr="000D34D2" w:rsidRDefault="00E67F05" w:rsidP="00635864">
            <w:pPr>
              <w:rPr>
                <w:rFonts w:ascii="Times New Roman" w:hAnsi="Times New Roman" w:cs="Times New Roman"/>
                <w:sz w:val="24"/>
                <w:szCs w:val="24"/>
              </w:rPr>
            </w:pPr>
            <w:r w:rsidRPr="000D34D2">
              <w:rPr>
                <w:rFonts w:ascii="Times New Roman" w:hAnsi="Times New Roman" w:cs="Times New Roman"/>
                <w:sz w:val="24"/>
                <w:szCs w:val="24"/>
              </w:rPr>
              <w:t>38.50</w:t>
            </w:r>
          </w:p>
        </w:tc>
        <w:tc>
          <w:tcPr>
            <w:tcW w:w="928" w:type="dxa"/>
            <w:tcBorders>
              <w:top w:val="single" w:sz="4" w:space="0" w:color="auto"/>
            </w:tcBorders>
          </w:tcPr>
          <w:p w14:paraId="54C81B41" w14:textId="77777777" w:rsidR="00E67F05" w:rsidRPr="000D34D2" w:rsidRDefault="00E67F05" w:rsidP="00635864">
            <w:pPr>
              <w:rPr>
                <w:rFonts w:ascii="Times New Roman" w:hAnsi="Times New Roman" w:cs="Times New Roman"/>
                <w:sz w:val="24"/>
                <w:szCs w:val="24"/>
              </w:rPr>
            </w:pPr>
            <w:r w:rsidRPr="000D34D2">
              <w:rPr>
                <w:rFonts w:ascii="Times New Roman" w:hAnsi="Times New Roman" w:cs="Times New Roman"/>
                <w:sz w:val="24"/>
                <w:szCs w:val="24"/>
              </w:rPr>
              <w:t>862</w:t>
            </w:r>
          </w:p>
        </w:tc>
        <w:tc>
          <w:tcPr>
            <w:tcW w:w="1426" w:type="dxa"/>
            <w:tcBorders>
              <w:top w:val="single" w:sz="4" w:space="0" w:color="auto"/>
            </w:tcBorders>
          </w:tcPr>
          <w:p w14:paraId="1BCA6CE6" w14:textId="77777777" w:rsidR="00E67F05" w:rsidRPr="000D34D2" w:rsidRDefault="00E67F05" w:rsidP="00635864">
            <w:pPr>
              <w:rPr>
                <w:rFonts w:ascii="Times New Roman" w:hAnsi="Times New Roman" w:cs="Times New Roman"/>
                <w:sz w:val="24"/>
                <w:szCs w:val="24"/>
              </w:rPr>
            </w:pPr>
            <w:r w:rsidRPr="000D34D2">
              <w:rPr>
                <w:rFonts w:ascii="Times New Roman" w:hAnsi="Times New Roman" w:cs="Times New Roman"/>
                <w:sz w:val="24"/>
                <w:szCs w:val="24"/>
              </w:rPr>
              <w:t>001</w:t>
            </w:r>
          </w:p>
        </w:tc>
        <w:tc>
          <w:tcPr>
            <w:tcW w:w="1421" w:type="dxa"/>
            <w:tcBorders>
              <w:top w:val="single" w:sz="4" w:space="0" w:color="auto"/>
            </w:tcBorders>
          </w:tcPr>
          <w:p w14:paraId="2B890B75" w14:textId="49E945E3" w:rsidR="00E67F05" w:rsidRPr="000D34D2" w:rsidRDefault="00DB2C15" w:rsidP="00635864">
            <w:pPr>
              <w:rPr>
                <w:rFonts w:ascii="Times New Roman" w:hAnsi="Times New Roman" w:cs="Times New Roman"/>
                <w:sz w:val="24"/>
                <w:szCs w:val="24"/>
              </w:rPr>
            </w:pPr>
            <w:r w:rsidRPr="000D34D2">
              <w:rPr>
                <w:rFonts w:ascii="Times New Roman" w:hAnsi="Times New Roman" w:cs="Times New Roman"/>
                <w:sz w:val="24"/>
                <w:szCs w:val="24"/>
              </w:rPr>
              <w:t>1.31</w:t>
            </w:r>
          </w:p>
        </w:tc>
      </w:tr>
      <w:tr w:rsidR="00E67F05" w:rsidRPr="000D34D2" w14:paraId="0B9C9632" w14:textId="438948C4" w:rsidTr="00765BC4">
        <w:trPr>
          <w:jc w:val="center"/>
        </w:trPr>
        <w:tc>
          <w:tcPr>
            <w:tcW w:w="1440" w:type="dxa"/>
          </w:tcPr>
          <w:p w14:paraId="5596348C" w14:textId="77777777" w:rsidR="00E67F05" w:rsidRPr="000D34D2" w:rsidRDefault="00E67F05" w:rsidP="00635864">
            <w:pPr>
              <w:rPr>
                <w:rFonts w:ascii="Times New Roman" w:hAnsi="Times New Roman" w:cs="Times New Roman"/>
                <w:sz w:val="20"/>
                <w:szCs w:val="20"/>
              </w:rPr>
            </w:pPr>
            <w:r w:rsidRPr="000D34D2">
              <w:rPr>
                <w:rFonts w:ascii="Times New Roman" w:hAnsi="Times New Roman" w:cs="Times New Roman"/>
                <w:sz w:val="20"/>
                <w:szCs w:val="20"/>
              </w:rPr>
              <w:t>IOCA - ROCA</w:t>
            </w:r>
          </w:p>
        </w:tc>
        <w:tc>
          <w:tcPr>
            <w:tcW w:w="1260" w:type="dxa"/>
          </w:tcPr>
          <w:p w14:paraId="7E6ACD4D" w14:textId="4531CDF2" w:rsidR="00E67F05" w:rsidRPr="000D34D2" w:rsidRDefault="00E67F05" w:rsidP="00635864">
            <w:pPr>
              <w:rPr>
                <w:rFonts w:ascii="Times New Roman" w:hAnsi="Times New Roman" w:cs="Times New Roman"/>
                <w:sz w:val="24"/>
                <w:szCs w:val="24"/>
              </w:rPr>
            </w:pPr>
            <w:r w:rsidRPr="000D34D2">
              <w:rPr>
                <w:rFonts w:ascii="Times New Roman" w:hAnsi="Times New Roman" w:cs="Times New Roman"/>
                <w:sz w:val="24"/>
                <w:szCs w:val="24"/>
              </w:rPr>
              <w:t>33.3</w:t>
            </w:r>
            <w:r w:rsidR="000D34D2" w:rsidRPr="000D34D2">
              <w:rPr>
                <w:rFonts w:ascii="Times New Roman" w:hAnsi="Times New Roman" w:cs="Times New Roman"/>
                <w:sz w:val="24"/>
                <w:szCs w:val="24"/>
              </w:rPr>
              <w:t>6</w:t>
            </w:r>
          </w:p>
        </w:tc>
        <w:tc>
          <w:tcPr>
            <w:tcW w:w="1440" w:type="dxa"/>
          </w:tcPr>
          <w:p w14:paraId="6252F922" w14:textId="5B7A709E" w:rsidR="00E67F05" w:rsidRPr="000D34D2" w:rsidRDefault="00E67F05" w:rsidP="00635864">
            <w:pPr>
              <w:rPr>
                <w:rFonts w:ascii="Times New Roman" w:hAnsi="Times New Roman" w:cs="Times New Roman"/>
                <w:sz w:val="24"/>
                <w:szCs w:val="24"/>
              </w:rPr>
            </w:pPr>
            <w:r w:rsidRPr="000D34D2">
              <w:rPr>
                <w:rFonts w:ascii="Times New Roman" w:hAnsi="Times New Roman" w:cs="Times New Roman"/>
                <w:sz w:val="24"/>
                <w:szCs w:val="24"/>
              </w:rPr>
              <w:t>20.95</w:t>
            </w:r>
          </w:p>
        </w:tc>
        <w:tc>
          <w:tcPr>
            <w:tcW w:w="1170" w:type="dxa"/>
          </w:tcPr>
          <w:p w14:paraId="242C786D" w14:textId="77777777" w:rsidR="00E67F05" w:rsidRPr="000D34D2" w:rsidRDefault="00E67F05" w:rsidP="00635864">
            <w:pPr>
              <w:rPr>
                <w:rFonts w:ascii="Times New Roman" w:hAnsi="Times New Roman" w:cs="Times New Roman"/>
                <w:sz w:val="24"/>
                <w:szCs w:val="24"/>
              </w:rPr>
            </w:pPr>
            <w:r w:rsidRPr="000D34D2">
              <w:rPr>
                <w:rFonts w:ascii="Times New Roman" w:hAnsi="Times New Roman" w:cs="Times New Roman"/>
                <w:sz w:val="24"/>
                <w:szCs w:val="24"/>
              </w:rPr>
              <w:t>20.32</w:t>
            </w:r>
          </w:p>
        </w:tc>
        <w:tc>
          <w:tcPr>
            <w:tcW w:w="928" w:type="dxa"/>
          </w:tcPr>
          <w:p w14:paraId="5914B6BA" w14:textId="77777777" w:rsidR="00E67F05" w:rsidRPr="000D34D2" w:rsidRDefault="00E67F05" w:rsidP="00635864">
            <w:pPr>
              <w:rPr>
                <w:rFonts w:ascii="Times New Roman" w:hAnsi="Times New Roman" w:cs="Times New Roman"/>
                <w:sz w:val="24"/>
                <w:szCs w:val="24"/>
              </w:rPr>
            </w:pPr>
            <w:r w:rsidRPr="000D34D2">
              <w:rPr>
                <w:rFonts w:ascii="Times New Roman" w:hAnsi="Times New Roman" w:cs="Times New Roman"/>
                <w:sz w:val="24"/>
                <w:szCs w:val="24"/>
              </w:rPr>
              <w:t>162</w:t>
            </w:r>
          </w:p>
        </w:tc>
        <w:tc>
          <w:tcPr>
            <w:tcW w:w="1426" w:type="dxa"/>
          </w:tcPr>
          <w:p w14:paraId="0AB2E234" w14:textId="77777777" w:rsidR="00E67F05" w:rsidRPr="000D34D2" w:rsidRDefault="00E67F05" w:rsidP="00635864">
            <w:pPr>
              <w:rPr>
                <w:rFonts w:ascii="Times New Roman" w:hAnsi="Times New Roman" w:cs="Times New Roman"/>
                <w:sz w:val="24"/>
                <w:szCs w:val="24"/>
              </w:rPr>
            </w:pPr>
            <w:r w:rsidRPr="000D34D2">
              <w:rPr>
                <w:rFonts w:ascii="Times New Roman" w:hAnsi="Times New Roman" w:cs="Times New Roman"/>
                <w:sz w:val="24"/>
                <w:szCs w:val="24"/>
              </w:rPr>
              <w:t>001</w:t>
            </w:r>
          </w:p>
        </w:tc>
        <w:tc>
          <w:tcPr>
            <w:tcW w:w="1421" w:type="dxa"/>
          </w:tcPr>
          <w:p w14:paraId="04B96910" w14:textId="0562C57E" w:rsidR="00E67F05" w:rsidRPr="000D34D2" w:rsidRDefault="00DB2C15" w:rsidP="00635864">
            <w:pPr>
              <w:rPr>
                <w:rFonts w:ascii="Times New Roman" w:hAnsi="Times New Roman" w:cs="Times New Roman"/>
                <w:sz w:val="24"/>
                <w:szCs w:val="24"/>
              </w:rPr>
            </w:pPr>
            <w:r w:rsidRPr="000D34D2">
              <w:rPr>
                <w:rFonts w:ascii="Times New Roman" w:hAnsi="Times New Roman" w:cs="Times New Roman"/>
                <w:sz w:val="24"/>
                <w:szCs w:val="24"/>
              </w:rPr>
              <w:t>1.59</w:t>
            </w:r>
          </w:p>
        </w:tc>
      </w:tr>
      <w:tr w:rsidR="00E67F05" w:rsidRPr="000D34D2" w14:paraId="5D071858" w14:textId="580046D4" w:rsidTr="00765BC4">
        <w:trPr>
          <w:jc w:val="center"/>
        </w:trPr>
        <w:tc>
          <w:tcPr>
            <w:tcW w:w="1440" w:type="dxa"/>
            <w:tcBorders>
              <w:bottom w:val="single" w:sz="4" w:space="0" w:color="auto"/>
            </w:tcBorders>
          </w:tcPr>
          <w:p w14:paraId="113AC393" w14:textId="04A5BAD4" w:rsidR="00E67F05" w:rsidRPr="000D34D2" w:rsidRDefault="00E67F05" w:rsidP="00635864">
            <w:pPr>
              <w:rPr>
                <w:rFonts w:ascii="Times New Roman" w:hAnsi="Times New Roman" w:cs="Times New Roman"/>
                <w:sz w:val="20"/>
                <w:szCs w:val="20"/>
              </w:rPr>
            </w:pPr>
            <w:r w:rsidRPr="000D34D2">
              <w:rPr>
                <w:rFonts w:ascii="Times New Roman" w:hAnsi="Times New Roman" w:cs="Times New Roman"/>
                <w:sz w:val="20"/>
                <w:szCs w:val="20"/>
              </w:rPr>
              <w:t>NOCA-ROCA</w:t>
            </w:r>
          </w:p>
        </w:tc>
        <w:tc>
          <w:tcPr>
            <w:tcW w:w="1260" w:type="dxa"/>
            <w:tcBorders>
              <w:bottom w:val="single" w:sz="4" w:space="0" w:color="auto"/>
            </w:tcBorders>
          </w:tcPr>
          <w:p w14:paraId="166D95DA" w14:textId="5C220188" w:rsidR="00E67F05" w:rsidRPr="000D34D2" w:rsidRDefault="00E67F05" w:rsidP="00635864">
            <w:pPr>
              <w:rPr>
                <w:rFonts w:ascii="Times New Roman" w:hAnsi="Times New Roman" w:cs="Times New Roman"/>
                <w:sz w:val="24"/>
                <w:szCs w:val="24"/>
              </w:rPr>
            </w:pPr>
            <w:r w:rsidRPr="000D34D2">
              <w:rPr>
                <w:rFonts w:ascii="Times New Roman" w:hAnsi="Times New Roman" w:cs="Times New Roman"/>
                <w:sz w:val="24"/>
                <w:szCs w:val="24"/>
              </w:rPr>
              <w:t>38.1</w:t>
            </w:r>
            <w:r w:rsidR="000D34D2" w:rsidRPr="000D34D2">
              <w:rPr>
                <w:rFonts w:ascii="Times New Roman" w:hAnsi="Times New Roman" w:cs="Times New Roman"/>
                <w:sz w:val="24"/>
                <w:szCs w:val="24"/>
              </w:rPr>
              <w:t>4</w:t>
            </w:r>
          </w:p>
        </w:tc>
        <w:tc>
          <w:tcPr>
            <w:tcW w:w="1440" w:type="dxa"/>
            <w:tcBorders>
              <w:bottom w:val="single" w:sz="4" w:space="0" w:color="auto"/>
            </w:tcBorders>
          </w:tcPr>
          <w:p w14:paraId="051A8F8F" w14:textId="4B668B34" w:rsidR="00E67F05" w:rsidRPr="000D34D2" w:rsidRDefault="00E67F05" w:rsidP="00635864">
            <w:pPr>
              <w:rPr>
                <w:rFonts w:ascii="Times New Roman" w:hAnsi="Times New Roman" w:cs="Times New Roman"/>
                <w:sz w:val="24"/>
                <w:szCs w:val="24"/>
              </w:rPr>
            </w:pPr>
            <w:r w:rsidRPr="000D34D2">
              <w:rPr>
                <w:rFonts w:ascii="Times New Roman" w:hAnsi="Times New Roman" w:cs="Times New Roman"/>
                <w:sz w:val="24"/>
                <w:szCs w:val="24"/>
              </w:rPr>
              <w:t>18.2</w:t>
            </w:r>
            <w:r w:rsidR="000D34D2" w:rsidRPr="000D34D2">
              <w:rPr>
                <w:rFonts w:ascii="Times New Roman" w:hAnsi="Times New Roman" w:cs="Times New Roman"/>
                <w:sz w:val="24"/>
                <w:szCs w:val="24"/>
              </w:rPr>
              <w:t>8</w:t>
            </w:r>
          </w:p>
        </w:tc>
        <w:tc>
          <w:tcPr>
            <w:tcW w:w="1170" w:type="dxa"/>
            <w:tcBorders>
              <w:bottom w:val="single" w:sz="4" w:space="0" w:color="auto"/>
            </w:tcBorders>
          </w:tcPr>
          <w:p w14:paraId="67021FBD" w14:textId="77777777" w:rsidR="00E67F05" w:rsidRPr="000D34D2" w:rsidRDefault="00E67F05" w:rsidP="00635864">
            <w:pPr>
              <w:rPr>
                <w:rFonts w:ascii="Times New Roman" w:hAnsi="Times New Roman" w:cs="Times New Roman"/>
                <w:sz w:val="24"/>
                <w:szCs w:val="24"/>
              </w:rPr>
            </w:pPr>
            <w:r w:rsidRPr="000D34D2">
              <w:rPr>
                <w:rFonts w:ascii="Times New Roman" w:hAnsi="Times New Roman" w:cs="Times New Roman"/>
                <w:sz w:val="24"/>
                <w:szCs w:val="24"/>
              </w:rPr>
              <w:t>26.64</w:t>
            </w:r>
          </w:p>
        </w:tc>
        <w:tc>
          <w:tcPr>
            <w:tcW w:w="928" w:type="dxa"/>
            <w:tcBorders>
              <w:bottom w:val="single" w:sz="4" w:space="0" w:color="auto"/>
            </w:tcBorders>
          </w:tcPr>
          <w:p w14:paraId="578877BD" w14:textId="77777777" w:rsidR="00E67F05" w:rsidRPr="000D34D2" w:rsidRDefault="00E67F05" w:rsidP="00635864">
            <w:pPr>
              <w:rPr>
                <w:rFonts w:ascii="Times New Roman" w:hAnsi="Times New Roman" w:cs="Times New Roman"/>
                <w:sz w:val="24"/>
                <w:szCs w:val="24"/>
              </w:rPr>
            </w:pPr>
            <w:r w:rsidRPr="000D34D2">
              <w:rPr>
                <w:rFonts w:ascii="Times New Roman" w:hAnsi="Times New Roman" w:cs="Times New Roman"/>
                <w:sz w:val="24"/>
                <w:szCs w:val="24"/>
              </w:rPr>
              <w:t>162t</w:t>
            </w:r>
          </w:p>
        </w:tc>
        <w:tc>
          <w:tcPr>
            <w:tcW w:w="1426" w:type="dxa"/>
            <w:tcBorders>
              <w:bottom w:val="single" w:sz="4" w:space="0" w:color="auto"/>
            </w:tcBorders>
          </w:tcPr>
          <w:p w14:paraId="296684F3" w14:textId="77777777" w:rsidR="00E67F05" w:rsidRPr="000D34D2" w:rsidRDefault="00E67F05" w:rsidP="00635864">
            <w:pPr>
              <w:rPr>
                <w:rFonts w:ascii="Times New Roman" w:hAnsi="Times New Roman" w:cs="Times New Roman"/>
                <w:sz w:val="24"/>
                <w:szCs w:val="24"/>
              </w:rPr>
            </w:pPr>
            <w:r w:rsidRPr="000D34D2">
              <w:rPr>
                <w:rFonts w:ascii="Times New Roman" w:hAnsi="Times New Roman" w:cs="Times New Roman"/>
                <w:sz w:val="24"/>
                <w:szCs w:val="24"/>
              </w:rPr>
              <w:t>001</w:t>
            </w:r>
          </w:p>
        </w:tc>
        <w:tc>
          <w:tcPr>
            <w:tcW w:w="1421" w:type="dxa"/>
            <w:tcBorders>
              <w:bottom w:val="single" w:sz="4" w:space="0" w:color="auto"/>
            </w:tcBorders>
          </w:tcPr>
          <w:p w14:paraId="1DAA1FD0" w14:textId="37D68FDD" w:rsidR="00E67F05" w:rsidRPr="000D34D2" w:rsidRDefault="001C129B" w:rsidP="00635864">
            <w:pPr>
              <w:rPr>
                <w:rFonts w:ascii="Times New Roman" w:hAnsi="Times New Roman" w:cs="Times New Roman"/>
                <w:sz w:val="24"/>
                <w:szCs w:val="24"/>
              </w:rPr>
            </w:pPr>
            <w:r w:rsidRPr="000D34D2">
              <w:rPr>
                <w:rFonts w:ascii="Times New Roman" w:hAnsi="Times New Roman" w:cs="Times New Roman"/>
                <w:sz w:val="24"/>
                <w:szCs w:val="24"/>
              </w:rPr>
              <w:t>2.08</w:t>
            </w:r>
          </w:p>
        </w:tc>
      </w:tr>
    </w:tbl>
    <w:p w14:paraId="0043DCF4" w14:textId="77777777" w:rsidR="00F972B2" w:rsidRDefault="00F972B2" w:rsidP="00F972B2">
      <w:pPr>
        <w:pStyle w:val="NormalWeb"/>
        <w:spacing w:before="0" w:beforeAutospacing="0" w:after="0" w:afterAutospacing="0"/>
        <w:jc w:val="both"/>
      </w:pPr>
    </w:p>
    <w:p w14:paraId="4096E706" w14:textId="77777777" w:rsidR="00A36470" w:rsidRDefault="00A36470" w:rsidP="00765BC4">
      <w:pPr>
        <w:pStyle w:val="NormalWeb"/>
        <w:spacing w:before="0" w:beforeAutospacing="0" w:after="240" w:afterAutospacing="0" w:line="360" w:lineRule="auto"/>
        <w:jc w:val="both"/>
        <w:sectPr w:rsidR="00A36470" w:rsidSect="00A36470">
          <w:type w:val="continuous"/>
          <w:pgSz w:w="12240" w:h="15840"/>
          <w:pgMar w:top="1170" w:right="990" w:bottom="1170" w:left="990" w:header="720" w:footer="720" w:gutter="0"/>
          <w:cols w:space="720"/>
          <w:docGrid w:linePitch="360"/>
        </w:sectPr>
      </w:pPr>
    </w:p>
    <w:p w14:paraId="4E5C87A5" w14:textId="28EDA9C6" w:rsidR="00F972B2" w:rsidRPr="00765BC4" w:rsidRDefault="0092417F" w:rsidP="00461530">
      <w:pPr>
        <w:pStyle w:val="NormalWeb"/>
        <w:spacing w:before="0" w:beforeAutospacing="0" w:after="240" w:afterAutospacing="0" w:line="276" w:lineRule="auto"/>
        <w:jc w:val="both"/>
      </w:pPr>
      <w:r w:rsidRPr="0047386B">
        <w:t xml:space="preserve">The results of the paired sample t-test revealed a significant difference between the two variables, t (872) = </w:t>
      </w:r>
      <w:r w:rsidR="00221801" w:rsidRPr="0036144C">
        <w:t>38.</w:t>
      </w:r>
      <w:r w:rsidR="00221801">
        <w:t>50</w:t>
      </w:r>
      <w:r w:rsidRPr="0047386B">
        <w:t>, p &lt; .001. The mean difference between IOCA (M = 79.</w:t>
      </w:r>
      <w:r w:rsidR="000D34D2">
        <w:t>65</w:t>
      </w:r>
      <w:r w:rsidRPr="0047386B">
        <w:t>, SD = 12.</w:t>
      </w:r>
      <w:r w:rsidR="000D34D2">
        <w:t>30</w:t>
      </w:r>
      <w:r w:rsidRPr="0047386B">
        <w:t xml:space="preserve">) and NOCA (M = </w:t>
      </w:r>
      <w:r w:rsidR="000D34D2">
        <w:t>42</w:t>
      </w:r>
      <w:r w:rsidRPr="0047386B">
        <w:t>.</w:t>
      </w:r>
      <w:r w:rsidR="000D34D2">
        <w:t>24</w:t>
      </w:r>
      <w:r w:rsidRPr="0047386B">
        <w:t xml:space="preserve">, SD = </w:t>
      </w:r>
      <w:r w:rsidR="000D34D2">
        <w:t>24</w:t>
      </w:r>
      <w:r w:rsidRPr="0047386B">
        <w:t>.</w:t>
      </w:r>
      <w:r w:rsidR="000D34D2">
        <w:t>89</w:t>
      </w:r>
      <w:r w:rsidRPr="0047386B">
        <w:t xml:space="preserve">) was </w:t>
      </w:r>
      <w:r w:rsidR="000D34D2">
        <w:t>37</w:t>
      </w:r>
      <w:r w:rsidRPr="0047386B">
        <w:t>.</w:t>
      </w:r>
      <w:r w:rsidR="000D34D2">
        <w:t>4</w:t>
      </w:r>
      <w:r w:rsidRPr="0047386B">
        <w:t xml:space="preserve">1 (SD = </w:t>
      </w:r>
      <w:r w:rsidR="000D34D2">
        <w:t>2</w:t>
      </w:r>
      <w:r w:rsidRPr="0047386B">
        <w:t>8.5</w:t>
      </w:r>
      <w:r w:rsidR="000D34D2">
        <w:t>5</w:t>
      </w:r>
      <w:r w:rsidRPr="0047386B">
        <w:t xml:space="preserve">), with a 95% confidence interval ranging from </w:t>
      </w:r>
      <w:r w:rsidR="00BE0A71">
        <w:t>3</w:t>
      </w:r>
      <w:r w:rsidRPr="0047386B">
        <w:t>5.5</w:t>
      </w:r>
      <w:r w:rsidR="00BE0A71">
        <w:t>1</w:t>
      </w:r>
      <w:r w:rsidRPr="0047386B">
        <w:t xml:space="preserve"> to </w:t>
      </w:r>
      <w:r w:rsidR="00BE0A71">
        <w:t>39</w:t>
      </w:r>
      <w:r w:rsidRPr="0047386B">
        <w:t>.</w:t>
      </w:r>
      <w:r w:rsidR="00BE0A71">
        <w:t>32</w:t>
      </w:r>
      <w:r w:rsidRPr="0047386B">
        <w:t>. The effect size for this difference, measured by Cohen’s d, was large (d = 1.</w:t>
      </w:r>
      <w:r w:rsidR="00BE0A71">
        <w:t>3</w:t>
      </w:r>
      <w:r w:rsidRPr="0047386B">
        <w:t>1).</w:t>
      </w:r>
    </w:p>
    <w:p w14:paraId="53CF53FB" w14:textId="7B2C3344" w:rsidR="0092417F" w:rsidRDefault="0092417F" w:rsidP="00461530">
      <w:pPr>
        <w:pStyle w:val="NormalWeb"/>
        <w:spacing w:before="0" w:beforeAutospacing="0" w:after="0" w:afterAutospacing="0" w:line="276" w:lineRule="auto"/>
        <w:jc w:val="both"/>
      </w:pPr>
      <w:r w:rsidRPr="0047386B">
        <w:t xml:space="preserve">The second pair </w:t>
      </w:r>
      <w:r w:rsidR="00F972B2">
        <w:t xml:space="preserve">is to </w:t>
      </w:r>
      <w:r w:rsidRPr="0047386B">
        <w:t xml:space="preserve">compare IOCA and ROCA. A significant difference was found between these two variables, </w:t>
      </w:r>
      <w:proofErr w:type="gramStart"/>
      <w:r w:rsidRPr="0047386B">
        <w:t>t(</w:t>
      </w:r>
      <w:proofErr w:type="gramEnd"/>
      <w:r w:rsidR="003D43DE">
        <w:t>16</w:t>
      </w:r>
      <w:r w:rsidRPr="0047386B">
        <w:t xml:space="preserve">2) = </w:t>
      </w:r>
      <w:r w:rsidR="005D7A41">
        <w:t>20</w:t>
      </w:r>
      <w:r w:rsidRPr="0047386B">
        <w:t>.</w:t>
      </w:r>
      <w:r w:rsidR="005D7A41">
        <w:t>32</w:t>
      </w:r>
      <w:r w:rsidRPr="0047386B">
        <w:t>, p &lt; .001. The mean difference between IOCA (M = 7</w:t>
      </w:r>
      <w:r w:rsidR="005948B7">
        <w:t>8</w:t>
      </w:r>
      <w:r w:rsidRPr="0047386B">
        <w:t>.</w:t>
      </w:r>
      <w:r w:rsidR="005948B7">
        <w:t>43</w:t>
      </w:r>
      <w:r w:rsidRPr="0047386B">
        <w:t xml:space="preserve">, SD = </w:t>
      </w:r>
      <w:r w:rsidR="005948B7">
        <w:t>8</w:t>
      </w:r>
      <w:r w:rsidRPr="0047386B">
        <w:t>.</w:t>
      </w:r>
      <w:r w:rsidR="005948B7">
        <w:t>80</w:t>
      </w:r>
      <w:r w:rsidRPr="0047386B">
        <w:t xml:space="preserve">) and ROCA (M = </w:t>
      </w:r>
      <w:r w:rsidR="005948B7">
        <w:t>45</w:t>
      </w:r>
      <w:r w:rsidRPr="0047386B">
        <w:t>.</w:t>
      </w:r>
      <w:r w:rsidR="005948B7">
        <w:t>08</w:t>
      </w:r>
      <w:r w:rsidRPr="0047386B">
        <w:t>, SD = 1</w:t>
      </w:r>
      <w:r w:rsidR="005948B7">
        <w:t>9</w:t>
      </w:r>
      <w:r w:rsidRPr="0047386B">
        <w:t>.</w:t>
      </w:r>
      <w:r w:rsidR="005948B7">
        <w:t>00</w:t>
      </w:r>
      <w:r w:rsidRPr="0047386B">
        <w:t xml:space="preserve">) was </w:t>
      </w:r>
      <w:r w:rsidR="005948B7">
        <w:t>33</w:t>
      </w:r>
      <w:r w:rsidRPr="0047386B">
        <w:t>.3</w:t>
      </w:r>
      <w:r w:rsidR="005948B7">
        <w:t>6</w:t>
      </w:r>
      <w:r w:rsidRPr="0047386B">
        <w:t xml:space="preserve"> (SD = 2</w:t>
      </w:r>
      <w:r w:rsidR="005948B7">
        <w:t>0</w:t>
      </w:r>
      <w:r w:rsidRPr="0047386B">
        <w:t>.9</w:t>
      </w:r>
      <w:r w:rsidR="005948B7">
        <w:t>5</w:t>
      </w:r>
      <w:r w:rsidRPr="0047386B">
        <w:t xml:space="preserve">), with a 95% confidence interval ranging from </w:t>
      </w:r>
      <w:r w:rsidR="003D43DE">
        <w:t>30</w:t>
      </w:r>
      <w:r w:rsidRPr="0047386B">
        <w:t>.</w:t>
      </w:r>
      <w:r w:rsidR="003D43DE">
        <w:t>12</w:t>
      </w:r>
      <w:r w:rsidRPr="0047386B">
        <w:t xml:space="preserve"> to </w:t>
      </w:r>
      <w:r w:rsidR="003D43DE">
        <w:t>36</w:t>
      </w:r>
      <w:r w:rsidRPr="0047386B">
        <w:t>.</w:t>
      </w:r>
      <w:r w:rsidR="003D43DE">
        <w:t>60</w:t>
      </w:r>
      <w:r w:rsidRPr="0047386B">
        <w:t xml:space="preserve">. The effect </w:t>
      </w:r>
      <w:r w:rsidRPr="0047386B">
        <w:t xml:space="preserve">size for this comparison, Cohen’s d, was very large (d = </w:t>
      </w:r>
      <w:r w:rsidR="005948B7">
        <w:t>1</w:t>
      </w:r>
      <w:r w:rsidRPr="0047386B">
        <w:t>.</w:t>
      </w:r>
      <w:r w:rsidR="005948B7">
        <w:t>59</w:t>
      </w:r>
      <w:r w:rsidRPr="0047386B">
        <w:t>).</w:t>
      </w:r>
    </w:p>
    <w:p w14:paraId="69B7B0DC" w14:textId="77777777" w:rsidR="00F972B2" w:rsidRPr="00F972B2" w:rsidRDefault="00F972B2" w:rsidP="00F972B2">
      <w:pPr>
        <w:pStyle w:val="NormalWeb"/>
        <w:spacing w:before="0" w:beforeAutospacing="0" w:after="0" w:afterAutospacing="0"/>
        <w:jc w:val="both"/>
        <w:rPr>
          <w:sz w:val="16"/>
          <w:szCs w:val="16"/>
        </w:rPr>
      </w:pPr>
    </w:p>
    <w:p w14:paraId="6AAA7C81" w14:textId="5937FB4D" w:rsidR="00A36470" w:rsidRPr="009136A5" w:rsidRDefault="0092417F" w:rsidP="009136A5">
      <w:pPr>
        <w:pStyle w:val="NormalWeb"/>
        <w:spacing w:before="0" w:beforeAutospacing="0" w:after="0" w:afterAutospacing="0" w:line="276" w:lineRule="auto"/>
        <w:jc w:val="both"/>
      </w:pPr>
      <w:r w:rsidRPr="0047386B">
        <w:t xml:space="preserve">The third pair </w:t>
      </w:r>
      <w:r w:rsidR="00B53752">
        <w:t xml:space="preserve">is to </w:t>
      </w:r>
      <w:r w:rsidRPr="0047386B">
        <w:t xml:space="preserve">compare NOCA and ROCA. A significant difference was found between these two variables, </w:t>
      </w:r>
      <w:proofErr w:type="gramStart"/>
      <w:r w:rsidRPr="0047386B">
        <w:t>t(</w:t>
      </w:r>
      <w:proofErr w:type="gramEnd"/>
      <w:r w:rsidR="005D7A41">
        <w:t>16</w:t>
      </w:r>
      <w:r w:rsidRPr="0047386B">
        <w:t xml:space="preserve">2) = </w:t>
      </w:r>
      <w:r w:rsidR="006554AC">
        <w:t>26</w:t>
      </w:r>
      <w:r w:rsidRPr="0047386B">
        <w:t>.</w:t>
      </w:r>
      <w:r w:rsidR="006554AC">
        <w:t>6</w:t>
      </w:r>
      <w:r w:rsidRPr="0047386B">
        <w:t xml:space="preserve">4, p &lt; .001. The mean difference between NOCA (M = </w:t>
      </w:r>
      <w:r w:rsidR="0034797F">
        <w:t>83</w:t>
      </w:r>
      <w:r w:rsidRPr="0047386B">
        <w:t>.</w:t>
      </w:r>
      <w:r w:rsidR="0034797F">
        <w:t>21</w:t>
      </w:r>
      <w:r w:rsidRPr="0047386B">
        <w:t xml:space="preserve">, SD = </w:t>
      </w:r>
      <w:r w:rsidR="0034797F">
        <w:t>4</w:t>
      </w:r>
      <w:r w:rsidR="006554AC">
        <w:t>.80</w:t>
      </w:r>
      <w:r w:rsidRPr="0047386B">
        <w:t xml:space="preserve">) and ROCA (M = </w:t>
      </w:r>
      <w:r w:rsidR="006554AC">
        <w:t>45.08</w:t>
      </w:r>
      <w:r w:rsidRPr="0047386B">
        <w:t>, SD = 1</w:t>
      </w:r>
      <w:r w:rsidR="006554AC">
        <w:t>9</w:t>
      </w:r>
      <w:r w:rsidRPr="0047386B">
        <w:t>.</w:t>
      </w:r>
      <w:r w:rsidR="006554AC">
        <w:t>00</w:t>
      </w:r>
      <w:r w:rsidRPr="0047386B">
        <w:t>) was 3</w:t>
      </w:r>
      <w:r w:rsidR="006554AC">
        <w:t>8</w:t>
      </w:r>
      <w:r w:rsidRPr="0047386B">
        <w:t>.</w:t>
      </w:r>
      <w:r w:rsidR="006554AC">
        <w:t>14</w:t>
      </w:r>
      <w:r w:rsidRPr="0047386B">
        <w:t xml:space="preserve"> (SD = </w:t>
      </w:r>
      <w:r w:rsidR="006554AC">
        <w:t>18</w:t>
      </w:r>
      <w:r w:rsidRPr="0047386B">
        <w:t>.</w:t>
      </w:r>
      <w:r w:rsidR="006554AC">
        <w:t>28</w:t>
      </w:r>
      <w:r w:rsidRPr="0047386B">
        <w:t xml:space="preserve">), with a 95% confidence interval ranging from </w:t>
      </w:r>
      <w:r w:rsidR="005D7A41">
        <w:t>35</w:t>
      </w:r>
      <w:r w:rsidRPr="0047386B">
        <w:t>.</w:t>
      </w:r>
      <w:r w:rsidR="005D7A41">
        <w:t>31</w:t>
      </w:r>
      <w:r w:rsidRPr="0047386B">
        <w:t xml:space="preserve"> to </w:t>
      </w:r>
      <w:r w:rsidR="005D7A41">
        <w:t>40</w:t>
      </w:r>
      <w:r w:rsidRPr="0047386B">
        <w:t>.</w:t>
      </w:r>
      <w:r w:rsidR="005D7A41">
        <w:t>96</w:t>
      </w:r>
      <w:r w:rsidRPr="0047386B">
        <w:t xml:space="preserve">. The effect size for this difference, as measured by Cohen’s d, was medium (d = </w:t>
      </w:r>
      <w:r w:rsidR="005D7A41">
        <w:t>2</w:t>
      </w:r>
      <w:r w:rsidRPr="0047386B">
        <w:t>.</w:t>
      </w:r>
      <w:r w:rsidR="005D7A41">
        <w:t>08</w:t>
      </w:r>
      <w:r w:rsidRPr="0047386B">
        <w:t>).</w:t>
      </w:r>
      <w:bookmarkStart w:id="9" w:name="_Hlk156798702"/>
      <w:bookmarkStart w:id="10" w:name="_Toc188462634"/>
    </w:p>
    <w:p w14:paraId="29774472" w14:textId="77777777" w:rsidR="009136A5" w:rsidRPr="009B0034" w:rsidRDefault="009136A5" w:rsidP="009136A5">
      <w:pPr>
        <w:pStyle w:val="Heading3"/>
        <w:numPr>
          <w:ilvl w:val="1"/>
          <w:numId w:val="23"/>
        </w:numPr>
        <w:spacing w:before="120" w:after="120"/>
        <w:rPr>
          <w:rFonts w:ascii="Times New Roman" w:eastAsiaTheme="minorEastAsia" w:hAnsi="Times New Roman" w:cs="Times New Roman"/>
          <w:b/>
          <w:bCs/>
          <w:sz w:val="24"/>
          <w:szCs w:val="24"/>
        </w:rPr>
      </w:pPr>
      <w:bookmarkStart w:id="11" w:name="_Toc188462501"/>
      <w:r w:rsidRPr="009B0034">
        <w:rPr>
          <w:rFonts w:ascii="Times New Roman" w:eastAsiaTheme="minorEastAsia" w:hAnsi="Times New Roman" w:cs="Times New Roman"/>
          <w:b/>
          <w:bCs/>
          <w:sz w:val="24"/>
          <w:szCs w:val="24"/>
        </w:rPr>
        <w:lastRenderedPageBreak/>
        <w:t xml:space="preserve">Correlation of Competence </w:t>
      </w:r>
      <w:bookmarkStart w:id="12" w:name="_Hlk156770105"/>
      <w:r w:rsidRPr="009B0034">
        <w:rPr>
          <w:rFonts w:ascii="Times New Roman" w:eastAsiaTheme="minorEastAsia" w:hAnsi="Times New Roman" w:cs="Times New Roman"/>
          <w:b/>
          <w:bCs/>
          <w:sz w:val="24"/>
          <w:szCs w:val="24"/>
        </w:rPr>
        <w:t>in IOCA, NOCA, and ROCA</w:t>
      </w:r>
      <w:bookmarkEnd w:id="11"/>
    </w:p>
    <w:bookmarkEnd w:id="12"/>
    <w:p w14:paraId="5F898C40" w14:textId="77777777" w:rsidR="009136A5" w:rsidRPr="009B0034" w:rsidRDefault="009136A5" w:rsidP="009136A5">
      <w:pPr>
        <w:spacing w:line="276" w:lineRule="auto"/>
        <w:jc w:val="both"/>
        <w:rPr>
          <w:rFonts w:ascii="Times New Roman" w:hAnsi="Times New Roman" w:cs="Times New Roman"/>
          <w:sz w:val="24"/>
          <w:szCs w:val="24"/>
        </w:rPr>
      </w:pPr>
      <w:r w:rsidRPr="009B0034">
        <w:rPr>
          <w:rFonts w:ascii="Times New Roman" w:hAnsi="Times New Roman" w:cs="Times New Roman"/>
          <w:sz w:val="24"/>
          <w:szCs w:val="24"/>
        </w:rPr>
        <w:t>To assess the relationship between competence levels, Pearson Correlation Coefficient computed and the results are presented in Table 3.</w:t>
      </w:r>
    </w:p>
    <w:p w14:paraId="6FE0A404" w14:textId="77777777" w:rsidR="009136A5" w:rsidRPr="009136A5" w:rsidRDefault="009136A5" w:rsidP="009136A5">
      <w:pPr>
        <w:sectPr w:rsidR="009136A5" w:rsidRPr="009136A5" w:rsidSect="009136A5">
          <w:type w:val="continuous"/>
          <w:pgSz w:w="12240" w:h="15840"/>
          <w:pgMar w:top="1170" w:right="990" w:bottom="1170" w:left="990" w:header="450" w:footer="720" w:gutter="0"/>
          <w:cols w:num="2" w:space="720"/>
          <w:docGrid w:linePitch="360"/>
        </w:sectPr>
      </w:pPr>
    </w:p>
    <w:p w14:paraId="43C2802D" w14:textId="78299FB4" w:rsidR="00B53752" w:rsidRPr="00765BC4" w:rsidRDefault="00B53752" w:rsidP="00765BC4">
      <w:pPr>
        <w:pStyle w:val="Heading5"/>
        <w:jc w:val="both"/>
        <w:rPr>
          <w:rFonts w:ascii="Times New Roman" w:hAnsi="Times New Roman" w:cs="Times New Roman"/>
          <w:sz w:val="24"/>
          <w:szCs w:val="24"/>
        </w:rPr>
      </w:pPr>
      <w:r w:rsidRPr="00765BC4">
        <w:rPr>
          <w:rFonts w:ascii="Times New Roman" w:hAnsi="Times New Roman" w:cs="Times New Roman"/>
          <w:bCs/>
          <w:sz w:val="24"/>
          <w:szCs w:val="24"/>
        </w:rPr>
        <w:t>Table 3</w:t>
      </w:r>
      <w:r w:rsidR="00765BC4">
        <w:rPr>
          <w:rFonts w:ascii="Times New Roman" w:hAnsi="Times New Roman" w:cs="Times New Roman"/>
          <w:sz w:val="24"/>
          <w:szCs w:val="24"/>
        </w:rPr>
        <w:t>.</w:t>
      </w:r>
      <w:r w:rsidRPr="00765BC4">
        <w:rPr>
          <w:rFonts w:ascii="Times New Roman" w:hAnsi="Times New Roman" w:cs="Times New Roman"/>
          <w:sz w:val="24"/>
          <w:szCs w:val="24"/>
        </w:rPr>
        <w:t xml:space="preserve"> Correlation of Students' Competence in IOCA with NOCA, IOC</w:t>
      </w:r>
      <w:r w:rsidR="009B0034" w:rsidRPr="00765BC4">
        <w:rPr>
          <w:rFonts w:ascii="Times New Roman" w:hAnsi="Times New Roman" w:cs="Times New Roman"/>
          <w:sz w:val="24"/>
          <w:szCs w:val="24"/>
        </w:rPr>
        <w:t xml:space="preserve">A with ROCA, and NOCA with </w:t>
      </w:r>
      <w:r w:rsidRPr="00765BC4">
        <w:rPr>
          <w:rFonts w:ascii="Times New Roman" w:hAnsi="Times New Roman" w:cs="Times New Roman"/>
          <w:sz w:val="24"/>
          <w:szCs w:val="24"/>
        </w:rPr>
        <w:t>ROCA.</w:t>
      </w:r>
      <w:bookmarkEnd w:id="10"/>
    </w:p>
    <w:bookmarkEnd w:id="9"/>
    <w:tbl>
      <w:tblPr>
        <w:tblStyle w:val="TableGrid10"/>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B53752" w:rsidRPr="009B0034" w14:paraId="31AB3502" w14:textId="77777777" w:rsidTr="00765BC4">
        <w:trPr>
          <w:jc w:val="center"/>
        </w:trPr>
        <w:tc>
          <w:tcPr>
            <w:tcW w:w="2337" w:type="dxa"/>
            <w:tcBorders>
              <w:top w:val="single" w:sz="4" w:space="0" w:color="auto"/>
              <w:left w:val="nil"/>
              <w:bottom w:val="single" w:sz="4" w:space="0" w:color="auto"/>
              <w:right w:val="nil"/>
            </w:tcBorders>
          </w:tcPr>
          <w:p w14:paraId="17BC138B" w14:textId="77777777" w:rsidR="00B53752" w:rsidRPr="009B0034" w:rsidRDefault="00B53752" w:rsidP="00635864">
            <w:pPr>
              <w:spacing w:line="240" w:lineRule="auto"/>
              <w:jc w:val="both"/>
              <w:rPr>
                <w:rFonts w:ascii="Times New Roman" w:hAnsi="Times New Roman"/>
                <w:sz w:val="24"/>
                <w:szCs w:val="24"/>
              </w:rPr>
            </w:pPr>
          </w:p>
        </w:tc>
        <w:tc>
          <w:tcPr>
            <w:tcW w:w="2337" w:type="dxa"/>
            <w:tcBorders>
              <w:top w:val="single" w:sz="4" w:space="0" w:color="auto"/>
              <w:left w:val="nil"/>
              <w:bottom w:val="single" w:sz="4" w:space="0" w:color="auto"/>
              <w:right w:val="nil"/>
            </w:tcBorders>
            <w:hideMark/>
          </w:tcPr>
          <w:p w14:paraId="25468321" w14:textId="77777777" w:rsidR="00B53752" w:rsidRPr="009B0034" w:rsidRDefault="00B53752" w:rsidP="00635864">
            <w:pPr>
              <w:spacing w:line="240" w:lineRule="auto"/>
              <w:jc w:val="both"/>
              <w:rPr>
                <w:rFonts w:ascii="Times New Roman" w:hAnsi="Times New Roman"/>
                <w:sz w:val="24"/>
                <w:szCs w:val="24"/>
              </w:rPr>
            </w:pPr>
            <w:r w:rsidRPr="009B0034">
              <w:rPr>
                <w:rFonts w:ascii="Times New Roman" w:hAnsi="Times New Roman"/>
                <w:sz w:val="24"/>
                <w:szCs w:val="24"/>
              </w:rPr>
              <w:t>IOCA</w:t>
            </w:r>
          </w:p>
        </w:tc>
        <w:tc>
          <w:tcPr>
            <w:tcW w:w="2338" w:type="dxa"/>
            <w:tcBorders>
              <w:top w:val="single" w:sz="4" w:space="0" w:color="auto"/>
              <w:left w:val="nil"/>
              <w:bottom w:val="single" w:sz="4" w:space="0" w:color="auto"/>
              <w:right w:val="nil"/>
            </w:tcBorders>
            <w:hideMark/>
          </w:tcPr>
          <w:p w14:paraId="1D215558" w14:textId="77777777" w:rsidR="00B53752" w:rsidRPr="009B0034" w:rsidRDefault="00B53752" w:rsidP="00635864">
            <w:pPr>
              <w:spacing w:line="240" w:lineRule="auto"/>
              <w:jc w:val="both"/>
              <w:rPr>
                <w:rFonts w:ascii="Times New Roman" w:hAnsi="Times New Roman"/>
                <w:sz w:val="24"/>
                <w:szCs w:val="24"/>
              </w:rPr>
            </w:pPr>
            <w:r w:rsidRPr="009B0034">
              <w:rPr>
                <w:rFonts w:ascii="Times New Roman" w:hAnsi="Times New Roman"/>
                <w:sz w:val="24"/>
                <w:szCs w:val="24"/>
              </w:rPr>
              <w:t>NOCA</w:t>
            </w:r>
          </w:p>
        </w:tc>
        <w:tc>
          <w:tcPr>
            <w:tcW w:w="2338" w:type="dxa"/>
            <w:tcBorders>
              <w:top w:val="single" w:sz="4" w:space="0" w:color="auto"/>
              <w:left w:val="nil"/>
              <w:bottom w:val="single" w:sz="4" w:space="0" w:color="auto"/>
              <w:right w:val="nil"/>
            </w:tcBorders>
            <w:hideMark/>
          </w:tcPr>
          <w:p w14:paraId="22D3C7F8" w14:textId="77777777" w:rsidR="00B53752" w:rsidRPr="009B0034" w:rsidRDefault="00B53752" w:rsidP="00635864">
            <w:pPr>
              <w:spacing w:line="240" w:lineRule="auto"/>
              <w:jc w:val="both"/>
              <w:rPr>
                <w:rFonts w:ascii="Times New Roman" w:hAnsi="Times New Roman"/>
                <w:sz w:val="24"/>
                <w:szCs w:val="24"/>
              </w:rPr>
            </w:pPr>
            <w:r w:rsidRPr="009B0034">
              <w:rPr>
                <w:rFonts w:ascii="Times New Roman" w:hAnsi="Times New Roman"/>
                <w:sz w:val="24"/>
                <w:szCs w:val="24"/>
              </w:rPr>
              <w:t>ROCA</w:t>
            </w:r>
          </w:p>
        </w:tc>
      </w:tr>
      <w:tr w:rsidR="00B53752" w:rsidRPr="009B0034" w14:paraId="22271EB7" w14:textId="77777777" w:rsidTr="00765BC4">
        <w:trPr>
          <w:jc w:val="center"/>
        </w:trPr>
        <w:tc>
          <w:tcPr>
            <w:tcW w:w="2337" w:type="dxa"/>
            <w:tcBorders>
              <w:top w:val="single" w:sz="4" w:space="0" w:color="auto"/>
              <w:left w:val="nil"/>
              <w:bottom w:val="nil"/>
              <w:right w:val="nil"/>
            </w:tcBorders>
            <w:hideMark/>
          </w:tcPr>
          <w:p w14:paraId="101D653F" w14:textId="77777777" w:rsidR="00B53752" w:rsidRPr="009B0034" w:rsidRDefault="00B53752" w:rsidP="00635864">
            <w:pPr>
              <w:spacing w:line="240" w:lineRule="auto"/>
              <w:jc w:val="both"/>
              <w:rPr>
                <w:rFonts w:ascii="Times New Roman" w:hAnsi="Times New Roman"/>
                <w:sz w:val="24"/>
                <w:szCs w:val="24"/>
              </w:rPr>
            </w:pPr>
            <w:r w:rsidRPr="009B0034">
              <w:rPr>
                <w:rFonts w:ascii="Times New Roman" w:hAnsi="Times New Roman"/>
                <w:sz w:val="24"/>
                <w:szCs w:val="24"/>
              </w:rPr>
              <w:t>IOCA</w:t>
            </w:r>
          </w:p>
        </w:tc>
        <w:tc>
          <w:tcPr>
            <w:tcW w:w="2337" w:type="dxa"/>
            <w:tcBorders>
              <w:top w:val="single" w:sz="4" w:space="0" w:color="auto"/>
              <w:left w:val="nil"/>
              <w:bottom w:val="nil"/>
              <w:right w:val="nil"/>
            </w:tcBorders>
            <w:hideMark/>
          </w:tcPr>
          <w:p w14:paraId="52C1DB5B" w14:textId="77777777" w:rsidR="00B53752" w:rsidRPr="009B0034" w:rsidRDefault="00B53752" w:rsidP="00635864">
            <w:pPr>
              <w:spacing w:line="240" w:lineRule="auto"/>
              <w:jc w:val="both"/>
              <w:rPr>
                <w:rFonts w:ascii="Times New Roman" w:hAnsi="Times New Roman"/>
                <w:sz w:val="24"/>
                <w:szCs w:val="24"/>
              </w:rPr>
            </w:pPr>
            <w:r w:rsidRPr="009B0034">
              <w:rPr>
                <w:rFonts w:ascii="Times New Roman" w:hAnsi="Times New Roman"/>
                <w:sz w:val="24"/>
                <w:szCs w:val="24"/>
              </w:rPr>
              <w:t>1</w:t>
            </w:r>
          </w:p>
        </w:tc>
        <w:tc>
          <w:tcPr>
            <w:tcW w:w="2338" w:type="dxa"/>
            <w:tcBorders>
              <w:top w:val="single" w:sz="4" w:space="0" w:color="auto"/>
              <w:left w:val="nil"/>
              <w:bottom w:val="nil"/>
              <w:right w:val="nil"/>
            </w:tcBorders>
          </w:tcPr>
          <w:p w14:paraId="7209181C" w14:textId="77777777" w:rsidR="00B53752" w:rsidRPr="009B0034" w:rsidRDefault="00B53752" w:rsidP="00635864">
            <w:pPr>
              <w:spacing w:line="240" w:lineRule="auto"/>
              <w:jc w:val="both"/>
              <w:rPr>
                <w:rFonts w:ascii="Times New Roman" w:hAnsi="Times New Roman"/>
                <w:sz w:val="24"/>
                <w:szCs w:val="24"/>
              </w:rPr>
            </w:pPr>
          </w:p>
        </w:tc>
        <w:tc>
          <w:tcPr>
            <w:tcW w:w="2338" w:type="dxa"/>
            <w:tcBorders>
              <w:top w:val="single" w:sz="4" w:space="0" w:color="auto"/>
              <w:left w:val="nil"/>
              <w:bottom w:val="nil"/>
              <w:right w:val="nil"/>
            </w:tcBorders>
          </w:tcPr>
          <w:p w14:paraId="61EED325" w14:textId="77777777" w:rsidR="00B53752" w:rsidRPr="009B0034" w:rsidRDefault="00B53752" w:rsidP="00635864">
            <w:pPr>
              <w:spacing w:line="240" w:lineRule="auto"/>
              <w:jc w:val="both"/>
              <w:rPr>
                <w:rFonts w:ascii="Times New Roman" w:hAnsi="Times New Roman"/>
                <w:sz w:val="24"/>
                <w:szCs w:val="24"/>
              </w:rPr>
            </w:pPr>
          </w:p>
        </w:tc>
      </w:tr>
      <w:tr w:rsidR="00B53752" w:rsidRPr="009B0034" w14:paraId="5BBB7EA5" w14:textId="77777777" w:rsidTr="00765BC4">
        <w:trPr>
          <w:jc w:val="center"/>
        </w:trPr>
        <w:tc>
          <w:tcPr>
            <w:tcW w:w="2337" w:type="dxa"/>
            <w:tcBorders>
              <w:top w:val="nil"/>
              <w:left w:val="nil"/>
              <w:bottom w:val="nil"/>
              <w:right w:val="nil"/>
            </w:tcBorders>
            <w:hideMark/>
          </w:tcPr>
          <w:p w14:paraId="51D21803" w14:textId="77777777" w:rsidR="00B53752" w:rsidRPr="009B0034" w:rsidRDefault="00B53752" w:rsidP="00635864">
            <w:pPr>
              <w:spacing w:line="240" w:lineRule="auto"/>
              <w:jc w:val="both"/>
              <w:rPr>
                <w:rFonts w:ascii="Times New Roman" w:hAnsi="Times New Roman"/>
                <w:sz w:val="24"/>
                <w:szCs w:val="24"/>
              </w:rPr>
            </w:pPr>
            <w:r w:rsidRPr="009B0034">
              <w:rPr>
                <w:rFonts w:ascii="Times New Roman" w:hAnsi="Times New Roman"/>
                <w:sz w:val="24"/>
                <w:szCs w:val="24"/>
              </w:rPr>
              <w:t>NOCA</w:t>
            </w:r>
          </w:p>
        </w:tc>
        <w:tc>
          <w:tcPr>
            <w:tcW w:w="2337" w:type="dxa"/>
            <w:tcBorders>
              <w:top w:val="nil"/>
              <w:left w:val="nil"/>
              <w:bottom w:val="nil"/>
              <w:right w:val="nil"/>
            </w:tcBorders>
            <w:hideMark/>
          </w:tcPr>
          <w:p w14:paraId="03F01A83" w14:textId="77777777" w:rsidR="00B53752" w:rsidRPr="009B0034" w:rsidRDefault="00B53752" w:rsidP="00635864">
            <w:pPr>
              <w:spacing w:line="240" w:lineRule="auto"/>
              <w:jc w:val="both"/>
              <w:rPr>
                <w:rFonts w:ascii="Times New Roman" w:hAnsi="Times New Roman"/>
                <w:sz w:val="24"/>
                <w:szCs w:val="24"/>
              </w:rPr>
            </w:pPr>
            <w:r w:rsidRPr="009B0034">
              <w:rPr>
                <w:rFonts w:ascii="Times New Roman" w:hAnsi="Times New Roman"/>
                <w:sz w:val="24"/>
                <w:szCs w:val="24"/>
              </w:rPr>
              <w:t>-.072*</w:t>
            </w:r>
          </w:p>
        </w:tc>
        <w:tc>
          <w:tcPr>
            <w:tcW w:w="2338" w:type="dxa"/>
            <w:tcBorders>
              <w:top w:val="nil"/>
              <w:left w:val="nil"/>
              <w:bottom w:val="nil"/>
              <w:right w:val="nil"/>
            </w:tcBorders>
            <w:hideMark/>
          </w:tcPr>
          <w:p w14:paraId="2D35CAE3" w14:textId="77777777" w:rsidR="00B53752" w:rsidRPr="009B0034" w:rsidRDefault="00B53752" w:rsidP="00635864">
            <w:pPr>
              <w:spacing w:line="240" w:lineRule="auto"/>
              <w:jc w:val="both"/>
              <w:rPr>
                <w:rFonts w:ascii="Times New Roman" w:hAnsi="Times New Roman"/>
                <w:sz w:val="24"/>
                <w:szCs w:val="24"/>
              </w:rPr>
            </w:pPr>
            <w:r w:rsidRPr="009B0034">
              <w:rPr>
                <w:rFonts w:ascii="Times New Roman" w:hAnsi="Times New Roman"/>
                <w:sz w:val="24"/>
                <w:szCs w:val="24"/>
              </w:rPr>
              <w:t>1</w:t>
            </w:r>
          </w:p>
        </w:tc>
        <w:tc>
          <w:tcPr>
            <w:tcW w:w="2338" w:type="dxa"/>
            <w:tcBorders>
              <w:top w:val="nil"/>
              <w:left w:val="nil"/>
              <w:bottom w:val="nil"/>
              <w:right w:val="nil"/>
            </w:tcBorders>
          </w:tcPr>
          <w:p w14:paraId="03B54242" w14:textId="77777777" w:rsidR="00B53752" w:rsidRPr="009B0034" w:rsidRDefault="00B53752" w:rsidP="00635864">
            <w:pPr>
              <w:spacing w:line="240" w:lineRule="auto"/>
              <w:jc w:val="both"/>
              <w:rPr>
                <w:rFonts w:ascii="Times New Roman" w:hAnsi="Times New Roman"/>
                <w:sz w:val="24"/>
                <w:szCs w:val="24"/>
              </w:rPr>
            </w:pPr>
          </w:p>
        </w:tc>
      </w:tr>
      <w:tr w:rsidR="00B53752" w:rsidRPr="009B0034" w14:paraId="5D673F57" w14:textId="77777777" w:rsidTr="00765BC4">
        <w:trPr>
          <w:jc w:val="center"/>
        </w:trPr>
        <w:tc>
          <w:tcPr>
            <w:tcW w:w="2337" w:type="dxa"/>
            <w:tcBorders>
              <w:top w:val="nil"/>
              <w:left w:val="nil"/>
              <w:bottom w:val="single" w:sz="4" w:space="0" w:color="auto"/>
              <w:right w:val="nil"/>
            </w:tcBorders>
            <w:hideMark/>
          </w:tcPr>
          <w:p w14:paraId="42F66146" w14:textId="77777777" w:rsidR="00B53752" w:rsidRPr="009B0034" w:rsidRDefault="00B53752" w:rsidP="00635864">
            <w:pPr>
              <w:spacing w:line="240" w:lineRule="auto"/>
              <w:jc w:val="both"/>
              <w:rPr>
                <w:rFonts w:ascii="Times New Roman" w:hAnsi="Times New Roman"/>
                <w:sz w:val="24"/>
                <w:szCs w:val="24"/>
              </w:rPr>
            </w:pPr>
            <w:r w:rsidRPr="009B0034">
              <w:rPr>
                <w:rFonts w:ascii="Times New Roman" w:hAnsi="Times New Roman"/>
                <w:sz w:val="24"/>
                <w:szCs w:val="24"/>
              </w:rPr>
              <w:t>ROCA</w:t>
            </w:r>
          </w:p>
        </w:tc>
        <w:tc>
          <w:tcPr>
            <w:tcW w:w="2337" w:type="dxa"/>
            <w:tcBorders>
              <w:top w:val="nil"/>
              <w:left w:val="nil"/>
              <w:bottom w:val="single" w:sz="4" w:space="0" w:color="auto"/>
              <w:right w:val="nil"/>
            </w:tcBorders>
            <w:hideMark/>
          </w:tcPr>
          <w:p w14:paraId="00FE9266" w14:textId="77777777" w:rsidR="00B53752" w:rsidRPr="009B0034" w:rsidRDefault="00B53752" w:rsidP="00635864">
            <w:pPr>
              <w:spacing w:line="240" w:lineRule="auto"/>
              <w:jc w:val="both"/>
              <w:rPr>
                <w:rFonts w:ascii="Times New Roman" w:hAnsi="Times New Roman"/>
                <w:sz w:val="24"/>
                <w:szCs w:val="24"/>
              </w:rPr>
            </w:pPr>
            <w:r w:rsidRPr="009B0034">
              <w:rPr>
                <w:rFonts w:ascii="Times New Roman" w:hAnsi="Times New Roman"/>
                <w:sz w:val="24"/>
                <w:szCs w:val="24"/>
              </w:rPr>
              <w:t>-.004</w:t>
            </w:r>
          </w:p>
        </w:tc>
        <w:tc>
          <w:tcPr>
            <w:tcW w:w="2338" w:type="dxa"/>
            <w:tcBorders>
              <w:top w:val="nil"/>
              <w:left w:val="nil"/>
              <w:bottom w:val="single" w:sz="4" w:space="0" w:color="auto"/>
              <w:right w:val="nil"/>
            </w:tcBorders>
            <w:hideMark/>
          </w:tcPr>
          <w:p w14:paraId="41430FF9" w14:textId="77777777" w:rsidR="00B53752" w:rsidRPr="009B0034" w:rsidRDefault="00B53752" w:rsidP="00635864">
            <w:pPr>
              <w:spacing w:line="240" w:lineRule="auto"/>
              <w:jc w:val="both"/>
              <w:rPr>
                <w:rFonts w:ascii="Times New Roman" w:hAnsi="Times New Roman"/>
                <w:sz w:val="24"/>
                <w:szCs w:val="24"/>
              </w:rPr>
            </w:pPr>
            <w:r w:rsidRPr="009B0034">
              <w:rPr>
                <w:rFonts w:ascii="Times New Roman" w:hAnsi="Times New Roman"/>
                <w:sz w:val="24"/>
                <w:szCs w:val="24"/>
              </w:rPr>
              <w:t>.270**</w:t>
            </w:r>
          </w:p>
        </w:tc>
        <w:tc>
          <w:tcPr>
            <w:tcW w:w="2338" w:type="dxa"/>
            <w:tcBorders>
              <w:top w:val="nil"/>
              <w:left w:val="nil"/>
              <w:bottom w:val="single" w:sz="4" w:space="0" w:color="auto"/>
              <w:right w:val="nil"/>
            </w:tcBorders>
            <w:hideMark/>
          </w:tcPr>
          <w:p w14:paraId="44C890C9" w14:textId="77777777" w:rsidR="00B53752" w:rsidRPr="009B0034" w:rsidRDefault="00B53752" w:rsidP="00635864">
            <w:pPr>
              <w:spacing w:line="240" w:lineRule="auto"/>
              <w:jc w:val="both"/>
              <w:rPr>
                <w:rFonts w:ascii="Times New Roman" w:hAnsi="Times New Roman"/>
                <w:sz w:val="24"/>
                <w:szCs w:val="24"/>
              </w:rPr>
            </w:pPr>
            <w:r w:rsidRPr="009B0034">
              <w:rPr>
                <w:rFonts w:ascii="Times New Roman" w:hAnsi="Times New Roman"/>
                <w:sz w:val="24"/>
                <w:szCs w:val="24"/>
              </w:rPr>
              <w:t>1</w:t>
            </w:r>
          </w:p>
        </w:tc>
      </w:tr>
    </w:tbl>
    <w:tbl>
      <w:tblPr>
        <w:tblW w:w="7230" w:type="dxa"/>
        <w:tblInd w:w="-10" w:type="dxa"/>
        <w:tblLayout w:type="fixed"/>
        <w:tblCellMar>
          <w:left w:w="0" w:type="dxa"/>
          <w:right w:w="0" w:type="dxa"/>
        </w:tblCellMar>
        <w:tblLook w:val="0000" w:firstRow="0" w:lastRow="0" w:firstColumn="0" w:lastColumn="0" w:noHBand="0" w:noVBand="0"/>
      </w:tblPr>
      <w:tblGrid>
        <w:gridCol w:w="7230"/>
      </w:tblGrid>
      <w:tr w:rsidR="00B53752" w:rsidRPr="009B0034" w14:paraId="5FECA57E" w14:textId="77777777" w:rsidTr="00635864">
        <w:trPr>
          <w:cantSplit/>
        </w:trPr>
        <w:tc>
          <w:tcPr>
            <w:tcW w:w="7230" w:type="dxa"/>
            <w:tcBorders>
              <w:top w:val="nil"/>
              <w:left w:val="nil"/>
              <w:bottom w:val="nil"/>
              <w:right w:val="nil"/>
            </w:tcBorders>
            <w:shd w:val="clear" w:color="auto" w:fill="FFFFFF"/>
          </w:tcPr>
          <w:p w14:paraId="5CF5E204" w14:textId="77777777" w:rsidR="00B53752" w:rsidRPr="009B0034" w:rsidRDefault="00B53752" w:rsidP="00635864">
            <w:pPr>
              <w:autoSpaceDE w:val="0"/>
              <w:autoSpaceDN w:val="0"/>
              <w:adjustRightInd w:val="0"/>
              <w:spacing w:after="0" w:line="320" w:lineRule="atLeast"/>
              <w:ind w:left="60" w:right="60"/>
              <w:rPr>
                <w:rFonts w:ascii="Times New Roman" w:hAnsi="Times New Roman" w:cs="Times New Roman"/>
                <w:color w:val="010205"/>
                <w:sz w:val="24"/>
                <w:szCs w:val="24"/>
              </w:rPr>
            </w:pPr>
            <w:r w:rsidRPr="009B0034">
              <w:rPr>
                <w:rFonts w:ascii="Times New Roman" w:hAnsi="Times New Roman" w:cs="Times New Roman"/>
                <w:color w:val="010205"/>
                <w:sz w:val="24"/>
                <w:szCs w:val="24"/>
              </w:rPr>
              <w:t>*. Correlation is significant at the 0.05 level (2-tailed).</w:t>
            </w:r>
          </w:p>
        </w:tc>
      </w:tr>
      <w:tr w:rsidR="00B53752" w:rsidRPr="009B0034" w14:paraId="2648C78F" w14:textId="77777777" w:rsidTr="00635864">
        <w:trPr>
          <w:cantSplit/>
        </w:trPr>
        <w:tc>
          <w:tcPr>
            <w:tcW w:w="7230" w:type="dxa"/>
            <w:tcBorders>
              <w:top w:val="nil"/>
              <w:left w:val="nil"/>
              <w:bottom w:val="nil"/>
              <w:right w:val="nil"/>
            </w:tcBorders>
            <w:shd w:val="clear" w:color="auto" w:fill="FFFFFF"/>
          </w:tcPr>
          <w:p w14:paraId="1495BE26" w14:textId="77777777" w:rsidR="00B53752" w:rsidRPr="009B0034" w:rsidRDefault="00B53752" w:rsidP="00EC6671">
            <w:pPr>
              <w:autoSpaceDE w:val="0"/>
              <w:autoSpaceDN w:val="0"/>
              <w:adjustRightInd w:val="0"/>
              <w:spacing w:after="0" w:line="240" w:lineRule="auto"/>
              <w:ind w:left="60" w:right="60"/>
              <w:rPr>
                <w:rFonts w:ascii="Times New Roman" w:hAnsi="Times New Roman" w:cs="Times New Roman"/>
                <w:color w:val="010205"/>
                <w:sz w:val="24"/>
                <w:szCs w:val="24"/>
              </w:rPr>
            </w:pPr>
            <w:bookmarkStart w:id="13" w:name="_Hlk188306498"/>
            <w:r w:rsidRPr="009B0034">
              <w:rPr>
                <w:rFonts w:ascii="Times New Roman" w:hAnsi="Times New Roman" w:cs="Times New Roman"/>
                <w:color w:val="010205"/>
                <w:sz w:val="24"/>
                <w:szCs w:val="24"/>
              </w:rPr>
              <w:t>**. Correlation is significant at the 0.01 level (2-tailed).</w:t>
            </w:r>
          </w:p>
          <w:p w14:paraId="4FAC7672" w14:textId="77777777" w:rsidR="00B53752" w:rsidRPr="009B0034" w:rsidRDefault="00B53752" w:rsidP="00EC6671">
            <w:pPr>
              <w:autoSpaceDE w:val="0"/>
              <w:autoSpaceDN w:val="0"/>
              <w:adjustRightInd w:val="0"/>
              <w:spacing w:after="0" w:line="240" w:lineRule="auto"/>
              <w:ind w:right="60"/>
              <w:rPr>
                <w:rFonts w:ascii="Times New Roman" w:hAnsi="Times New Roman" w:cs="Times New Roman"/>
                <w:color w:val="010205"/>
                <w:sz w:val="24"/>
                <w:szCs w:val="24"/>
              </w:rPr>
            </w:pPr>
          </w:p>
        </w:tc>
      </w:tr>
      <w:bookmarkEnd w:id="13"/>
    </w:tbl>
    <w:p w14:paraId="7BB80C06" w14:textId="77777777" w:rsidR="00A36470" w:rsidRDefault="00A36470" w:rsidP="00EC6671">
      <w:pPr>
        <w:pStyle w:val="NormalWeb"/>
        <w:spacing w:before="0" w:beforeAutospacing="0" w:after="0" w:afterAutospacing="0" w:line="360" w:lineRule="auto"/>
        <w:jc w:val="both"/>
        <w:sectPr w:rsidR="00A36470" w:rsidSect="00A36470">
          <w:type w:val="continuous"/>
          <w:pgSz w:w="12240" w:h="15840"/>
          <w:pgMar w:top="1170" w:right="990" w:bottom="1170" w:left="990" w:header="720" w:footer="720" w:gutter="0"/>
          <w:cols w:space="720"/>
          <w:docGrid w:linePitch="360"/>
        </w:sectPr>
      </w:pPr>
    </w:p>
    <w:p w14:paraId="511C921D" w14:textId="18010F63" w:rsidR="00B53752" w:rsidRPr="009B0034" w:rsidRDefault="00B53752" w:rsidP="00461530">
      <w:pPr>
        <w:pStyle w:val="NormalWeb"/>
        <w:spacing w:before="0" w:beforeAutospacing="0" w:after="0" w:afterAutospacing="0" w:line="276" w:lineRule="auto"/>
        <w:jc w:val="both"/>
      </w:pPr>
      <w:r w:rsidRPr="009B0034">
        <w:t xml:space="preserve">Pearson correlation indicated that negative, and statistically significant correlation between IOCA and NOCA scores (r = -0.072, N = 863, p &lt; 0.05). </w:t>
      </w:r>
      <w:r w:rsidR="005677EE" w:rsidRPr="009B0034">
        <w:t xml:space="preserve">There was </w:t>
      </w:r>
      <w:r w:rsidRPr="009B0034">
        <w:t>no</w:t>
      </w:r>
      <w:r w:rsidR="005677EE" w:rsidRPr="009B0034">
        <w:t xml:space="preserve"> significant</w:t>
      </w:r>
      <w:r w:rsidRPr="009B0034">
        <w:t xml:space="preserve"> correlation was observed between IOCA and ROCA scores (r = -0.004, N = 163, p &gt; 0.05). In contrast, a strong, positive, and statistically significant correlation was observed between NOCA and ROCA scores (r = 0.270, N = 163, p &lt; 0.001).</w:t>
      </w:r>
    </w:p>
    <w:p w14:paraId="553B6816" w14:textId="7F3523DF" w:rsidR="00486450" w:rsidRPr="00765BC4" w:rsidRDefault="00B50DC0" w:rsidP="009136A5">
      <w:pPr>
        <w:pStyle w:val="ListParagraph"/>
        <w:numPr>
          <w:ilvl w:val="1"/>
          <w:numId w:val="23"/>
        </w:numPr>
        <w:spacing w:before="120" w:after="120" w:line="276" w:lineRule="auto"/>
        <w:jc w:val="both"/>
        <w:rPr>
          <w:rFonts w:ascii="Times New Roman" w:hAnsi="Times New Roman" w:cs="Times New Roman"/>
          <w:b/>
          <w:sz w:val="24"/>
          <w:szCs w:val="24"/>
        </w:rPr>
      </w:pPr>
      <w:r w:rsidRPr="00765BC4">
        <w:rPr>
          <w:rFonts w:ascii="Times New Roman" w:hAnsi="Times New Roman" w:cs="Times New Roman"/>
          <w:b/>
          <w:sz w:val="24"/>
          <w:szCs w:val="24"/>
        </w:rPr>
        <w:t>Results</w:t>
      </w:r>
      <w:r w:rsidR="00291B95" w:rsidRPr="00765BC4">
        <w:rPr>
          <w:rFonts w:ascii="Times New Roman" w:hAnsi="Times New Roman" w:cs="Times New Roman"/>
          <w:b/>
          <w:sz w:val="24"/>
          <w:szCs w:val="24"/>
        </w:rPr>
        <w:t xml:space="preserve"> of Regression Analysis of IOCA as a Predictor of NOCA and ROCA, and NOCA as a Predictor of ROCA</w:t>
      </w:r>
    </w:p>
    <w:p w14:paraId="65F095ED" w14:textId="2F3A93D0" w:rsidR="00486450" w:rsidRPr="00BE1DDC" w:rsidRDefault="00F2565B" w:rsidP="00461530">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00BE1DDC">
        <w:rPr>
          <w:rFonts w:ascii="Times New Roman" w:hAnsi="Times New Roman" w:cs="Times New Roman"/>
          <w:sz w:val="24"/>
          <w:szCs w:val="24"/>
        </w:rPr>
        <w:t xml:space="preserve">linear regression analysis explored the predictive relationship between the IOCA to NOCA, ROCA, and NOCA to ROCA competence of students from private TVET colleges. </w:t>
      </w:r>
      <w:r w:rsidR="00486450" w:rsidRPr="00BE1DDC">
        <w:rPr>
          <w:rFonts w:ascii="Times New Roman" w:eastAsia="Times New Roman" w:hAnsi="Times New Roman" w:cs="Times New Roman"/>
          <w:sz w:val="24"/>
          <w:szCs w:val="24"/>
        </w:rPr>
        <w:t>The findings are presented in Table 3.</w:t>
      </w:r>
    </w:p>
    <w:p w14:paraId="752E3800" w14:textId="77777777" w:rsidR="00A36470" w:rsidRDefault="00A36470" w:rsidP="00461530">
      <w:pPr>
        <w:spacing w:after="0" w:line="276" w:lineRule="auto"/>
        <w:jc w:val="both"/>
        <w:rPr>
          <w:rFonts w:ascii="Times New Roman" w:hAnsi="Times New Roman" w:cs="Times New Roman"/>
          <w:sz w:val="24"/>
          <w:szCs w:val="24"/>
        </w:rPr>
        <w:sectPr w:rsidR="00A36470" w:rsidSect="00A36470">
          <w:type w:val="continuous"/>
          <w:pgSz w:w="12240" w:h="15840"/>
          <w:pgMar w:top="1170" w:right="990" w:bottom="1170" w:left="990" w:header="720" w:footer="720" w:gutter="0"/>
          <w:cols w:num="2" w:space="720"/>
          <w:docGrid w:linePitch="360"/>
        </w:sectPr>
      </w:pPr>
    </w:p>
    <w:p w14:paraId="68659707" w14:textId="5EB231D2" w:rsidR="00291B95" w:rsidRPr="00765BC4" w:rsidRDefault="00291B95" w:rsidP="00765BC4">
      <w:pPr>
        <w:spacing w:after="0" w:line="276" w:lineRule="auto"/>
        <w:jc w:val="both"/>
        <w:rPr>
          <w:rFonts w:ascii="Times New Roman" w:hAnsi="Times New Roman" w:cs="Times New Roman"/>
          <w:sz w:val="24"/>
          <w:szCs w:val="24"/>
        </w:rPr>
      </w:pPr>
      <w:r w:rsidRPr="00765BC4">
        <w:rPr>
          <w:rFonts w:ascii="Times New Roman" w:hAnsi="Times New Roman" w:cs="Times New Roman"/>
          <w:sz w:val="24"/>
          <w:szCs w:val="24"/>
        </w:rPr>
        <w:t xml:space="preserve">Table </w:t>
      </w:r>
      <w:r w:rsidR="00604C57" w:rsidRPr="00765BC4">
        <w:rPr>
          <w:rFonts w:ascii="Times New Roman" w:hAnsi="Times New Roman" w:cs="Times New Roman"/>
          <w:sz w:val="24"/>
          <w:szCs w:val="24"/>
        </w:rPr>
        <w:t>3</w:t>
      </w:r>
      <w:r w:rsidR="00765BC4">
        <w:rPr>
          <w:rFonts w:ascii="Times New Roman" w:hAnsi="Times New Roman" w:cs="Times New Roman"/>
          <w:sz w:val="24"/>
          <w:szCs w:val="24"/>
        </w:rPr>
        <w:t>.</w:t>
      </w:r>
      <w:r w:rsidRPr="00765BC4">
        <w:rPr>
          <w:rFonts w:ascii="Times New Roman" w:hAnsi="Times New Roman" w:cs="Times New Roman"/>
          <w:sz w:val="24"/>
          <w:szCs w:val="24"/>
        </w:rPr>
        <w:t xml:space="preserve"> Regression Analysis of IOCA as a Predictor of NOCA and ROCA, and NOCA as a Predictor of ROCA</w:t>
      </w:r>
    </w:p>
    <w:tbl>
      <w:tblPr>
        <w:tblStyle w:val="TableGrid"/>
        <w:tblW w:w="8976"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0"/>
        <w:gridCol w:w="790"/>
        <w:gridCol w:w="1344"/>
        <w:gridCol w:w="987"/>
        <w:gridCol w:w="719"/>
        <w:gridCol w:w="674"/>
        <w:gridCol w:w="708"/>
        <w:gridCol w:w="718"/>
        <w:gridCol w:w="1516"/>
      </w:tblGrid>
      <w:tr w:rsidR="00B50DC0" w:rsidRPr="00CE3C46" w14:paraId="4952F5FB" w14:textId="77777777" w:rsidTr="000F1044">
        <w:trPr>
          <w:trHeight w:hRule="exact" w:val="298"/>
          <w:jc w:val="center"/>
        </w:trPr>
        <w:tc>
          <w:tcPr>
            <w:tcW w:w="1520" w:type="dxa"/>
            <w:tcBorders>
              <w:top w:val="single" w:sz="4" w:space="0" w:color="auto"/>
              <w:bottom w:val="single" w:sz="4" w:space="0" w:color="auto"/>
            </w:tcBorders>
            <w:hideMark/>
          </w:tcPr>
          <w:p w14:paraId="1816AC8F" w14:textId="77777777" w:rsidR="00B50DC0" w:rsidRPr="00CE3C46" w:rsidRDefault="00B50DC0" w:rsidP="00C70EA1">
            <w:pPr>
              <w:spacing w:line="240" w:lineRule="auto"/>
              <w:jc w:val="both"/>
              <w:rPr>
                <w:rFonts w:ascii="Times New Roman" w:hAnsi="Times New Roman" w:cs="Times New Roman"/>
                <w:sz w:val="20"/>
                <w:szCs w:val="20"/>
              </w:rPr>
            </w:pPr>
            <w:r w:rsidRPr="00CE3C46">
              <w:rPr>
                <w:rFonts w:ascii="Times New Roman" w:hAnsi="Times New Roman" w:cs="Times New Roman"/>
                <w:sz w:val="20"/>
                <w:szCs w:val="20"/>
              </w:rPr>
              <w:t>Variable</w:t>
            </w:r>
          </w:p>
        </w:tc>
        <w:tc>
          <w:tcPr>
            <w:tcW w:w="790" w:type="dxa"/>
            <w:tcBorders>
              <w:top w:val="single" w:sz="4" w:space="0" w:color="auto"/>
              <w:bottom w:val="single" w:sz="4" w:space="0" w:color="auto"/>
            </w:tcBorders>
            <w:hideMark/>
          </w:tcPr>
          <w:p w14:paraId="38E6B8A1" w14:textId="77777777" w:rsidR="00B50DC0" w:rsidRPr="00CE3C46" w:rsidRDefault="00B50DC0" w:rsidP="00C70EA1">
            <w:pPr>
              <w:spacing w:line="240" w:lineRule="auto"/>
              <w:jc w:val="both"/>
              <w:rPr>
                <w:rFonts w:ascii="Times New Roman" w:hAnsi="Times New Roman" w:cs="Times New Roman"/>
                <w:sz w:val="20"/>
                <w:szCs w:val="20"/>
              </w:rPr>
            </w:pPr>
            <w:r w:rsidRPr="00CE3C46">
              <w:rPr>
                <w:rFonts w:ascii="Times New Roman" w:hAnsi="Times New Roman" w:cs="Times New Roman"/>
                <w:sz w:val="20"/>
                <w:szCs w:val="20"/>
              </w:rPr>
              <w:t>B</w:t>
            </w:r>
          </w:p>
        </w:tc>
        <w:tc>
          <w:tcPr>
            <w:tcW w:w="1344" w:type="dxa"/>
            <w:tcBorders>
              <w:top w:val="single" w:sz="4" w:space="0" w:color="auto"/>
              <w:bottom w:val="single" w:sz="4" w:space="0" w:color="auto"/>
            </w:tcBorders>
            <w:hideMark/>
          </w:tcPr>
          <w:p w14:paraId="0645B855" w14:textId="77777777" w:rsidR="00B50DC0" w:rsidRPr="00CE3C46" w:rsidRDefault="00B50DC0" w:rsidP="00C70EA1">
            <w:pPr>
              <w:spacing w:line="240" w:lineRule="auto"/>
              <w:jc w:val="both"/>
              <w:rPr>
                <w:rFonts w:ascii="Times New Roman" w:hAnsi="Times New Roman" w:cs="Times New Roman"/>
                <w:sz w:val="20"/>
                <w:szCs w:val="20"/>
              </w:rPr>
            </w:pPr>
            <w:r w:rsidRPr="00CE3C46">
              <w:rPr>
                <w:rFonts w:ascii="Times New Roman" w:hAnsi="Times New Roman" w:cs="Times New Roman"/>
                <w:sz w:val="20"/>
                <w:szCs w:val="20"/>
              </w:rPr>
              <w:t>Std. Error</w:t>
            </w:r>
          </w:p>
        </w:tc>
        <w:tc>
          <w:tcPr>
            <w:tcW w:w="987" w:type="dxa"/>
            <w:tcBorders>
              <w:top w:val="single" w:sz="4" w:space="0" w:color="auto"/>
              <w:bottom w:val="single" w:sz="4" w:space="0" w:color="auto"/>
            </w:tcBorders>
            <w:hideMark/>
          </w:tcPr>
          <w:p w14:paraId="3BBD3F10" w14:textId="77777777" w:rsidR="00B50DC0" w:rsidRPr="00CE3C46" w:rsidRDefault="00B50DC0" w:rsidP="00C70EA1">
            <w:pPr>
              <w:spacing w:line="240" w:lineRule="auto"/>
              <w:jc w:val="both"/>
              <w:rPr>
                <w:rFonts w:ascii="Times New Roman" w:hAnsi="Times New Roman" w:cs="Times New Roman"/>
                <w:sz w:val="20"/>
                <w:szCs w:val="20"/>
              </w:rPr>
            </w:pPr>
            <w:r w:rsidRPr="00CE3C46">
              <w:rPr>
                <w:rFonts w:ascii="Times New Roman" w:hAnsi="Times New Roman" w:cs="Times New Roman"/>
                <w:sz w:val="20"/>
                <w:szCs w:val="20"/>
              </w:rPr>
              <w:t>Beta</w:t>
            </w:r>
          </w:p>
        </w:tc>
        <w:tc>
          <w:tcPr>
            <w:tcW w:w="719" w:type="dxa"/>
            <w:tcBorders>
              <w:top w:val="single" w:sz="4" w:space="0" w:color="auto"/>
              <w:bottom w:val="single" w:sz="4" w:space="0" w:color="auto"/>
            </w:tcBorders>
            <w:hideMark/>
          </w:tcPr>
          <w:p w14:paraId="66292CC4" w14:textId="77777777" w:rsidR="00B50DC0" w:rsidRPr="00CE3C46" w:rsidRDefault="00B50DC0" w:rsidP="00C70EA1">
            <w:pPr>
              <w:spacing w:line="240" w:lineRule="auto"/>
              <w:jc w:val="both"/>
              <w:rPr>
                <w:rFonts w:ascii="Times New Roman" w:hAnsi="Times New Roman" w:cs="Times New Roman"/>
                <w:sz w:val="20"/>
                <w:szCs w:val="20"/>
              </w:rPr>
            </w:pPr>
            <w:r w:rsidRPr="00CE3C46">
              <w:rPr>
                <w:rFonts w:ascii="Times New Roman" w:hAnsi="Times New Roman" w:cs="Times New Roman"/>
                <w:sz w:val="20"/>
                <w:szCs w:val="20"/>
              </w:rPr>
              <w:t>t</w:t>
            </w:r>
          </w:p>
        </w:tc>
        <w:tc>
          <w:tcPr>
            <w:tcW w:w="674" w:type="dxa"/>
            <w:tcBorders>
              <w:top w:val="single" w:sz="4" w:space="0" w:color="auto"/>
              <w:bottom w:val="single" w:sz="4" w:space="0" w:color="auto"/>
            </w:tcBorders>
            <w:hideMark/>
          </w:tcPr>
          <w:p w14:paraId="54A740E1" w14:textId="77777777" w:rsidR="00B50DC0" w:rsidRPr="00CE3C46" w:rsidRDefault="00B50DC0" w:rsidP="00C70EA1">
            <w:pPr>
              <w:spacing w:line="240" w:lineRule="auto"/>
              <w:jc w:val="both"/>
              <w:rPr>
                <w:rFonts w:ascii="Times New Roman" w:hAnsi="Times New Roman" w:cs="Times New Roman"/>
                <w:sz w:val="20"/>
                <w:szCs w:val="20"/>
              </w:rPr>
            </w:pPr>
            <w:r w:rsidRPr="00CE3C46">
              <w:rPr>
                <w:rFonts w:ascii="Times New Roman" w:hAnsi="Times New Roman" w:cs="Times New Roman"/>
                <w:sz w:val="20"/>
                <w:szCs w:val="20"/>
              </w:rPr>
              <w:t xml:space="preserve"> Sig </w:t>
            </w:r>
          </w:p>
        </w:tc>
        <w:tc>
          <w:tcPr>
            <w:tcW w:w="708" w:type="dxa"/>
            <w:tcBorders>
              <w:top w:val="single" w:sz="4" w:space="0" w:color="auto"/>
              <w:bottom w:val="single" w:sz="4" w:space="0" w:color="auto"/>
            </w:tcBorders>
            <w:hideMark/>
          </w:tcPr>
          <w:p w14:paraId="2F70E43C" w14:textId="77777777" w:rsidR="00B50DC0" w:rsidRPr="00CE3C46" w:rsidRDefault="00B50DC0" w:rsidP="00C70EA1">
            <w:pPr>
              <w:spacing w:line="240" w:lineRule="auto"/>
              <w:jc w:val="both"/>
              <w:rPr>
                <w:rFonts w:ascii="Times New Roman" w:hAnsi="Times New Roman" w:cs="Times New Roman"/>
                <w:sz w:val="20"/>
                <w:szCs w:val="20"/>
              </w:rPr>
            </w:pPr>
            <w:r w:rsidRPr="00CE3C46">
              <w:rPr>
                <w:rFonts w:ascii="Times New Roman" w:hAnsi="Times New Roman" w:cs="Times New Roman"/>
                <w:sz w:val="20"/>
                <w:szCs w:val="20"/>
              </w:rPr>
              <w:t>R</w:t>
            </w:r>
          </w:p>
        </w:tc>
        <w:tc>
          <w:tcPr>
            <w:tcW w:w="718" w:type="dxa"/>
            <w:tcBorders>
              <w:top w:val="single" w:sz="4" w:space="0" w:color="auto"/>
              <w:bottom w:val="single" w:sz="4" w:space="0" w:color="auto"/>
            </w:tcBorders>
            <w:hideMark/>
          </w:tcPr>
          <w:p w14:paraId="18F0AC3D" w14:textId="77777777" w:rsidR="00B50DC0" w:rsidRPr="00CE3C46" w:rsidRDefault="00B50DC0" w:rsidP="00C70EA1">
            <w:pPr>
              <w:spacing w:line="240" w:lineRule="auto"/>
              <w:jc w:val="both"/>
              <w:rPr>
                <w:rFonts w:ascii="Times New Roman" w:hAnsi="Times New Roman" w:cs="Times New Roman"/>
                <w:sz w:val="20"/>
                <w:szCs w:val="20"/>
              </w:rPr>
            </w:pPr>
            <w:r w:rsidRPr="00CE3C46">
              <w:rPr>
                <w:rFonts w:ascii="Times New Roman" w:hAnsi="Times New Roman" w:cs="Times New Roman"/>
                <w:sz w:val="20"/>
                <w:szCs w:val="20"/>
              </w:rPr>
              <w:t>R</w:t>
            </w:r>
            <w:r w:rsidRPr="00CE3C46">
              <w:rPr>
                <w:rFonts w:ascii="Times New Roman" w:hAnsi="Times New Roman" w:cs="Times New Roman"/>
                <w:sz w:val="20"/>
                <w:szCs w:val="20"/>
                <w:vertAlign w:val="superscript"/>
              </w:rPr>
              <w:t>2</w:t>
            </w:r>
          </w:p>
        </w:tc>
        <w:tc>
          <w:tcPr>
            <w:tcW w:w="1516" w:type="dxa"/>
            <w:tcBorders>
              <w:top w:val="single" w:sz="4" w:space="0" w:color="auto"/>
              <w:bottom w:val="single" w:sz="4" w:space="0" w:color="auto"/>
            </w:tcBorders>
            <w:hideMark/>
          </w:tcPr>
          <w:p w14:paraId="640C5CDA" w14:textId="77777777" w:rsidR="00B50DC0" w:rsidRPr="00CE3C46" w:rsidRDefault="00B50DC0" w:rsidP="00C70EA1">
            <w:pPr>
              <w:spacing w:line="240" w:lineRule="auto"/>
              <w:jc w:val="both"/>
              <w:rPr>
                <w:rFonts w:ascii="Times New Roman" w:hAnsi="Times New Roman" w:cs="Times New Roman"/>
                <w:sz w:val="20"/>
                <w:szCs w:val="20"/>
              </w:rPr>
            </w:pPr>
            <w:r w:rsidRPr="00CE3C46">
              <w:rPr>
                <w:rFonts w:ascii="Times New Roman" w:hAnsi="Times New Roman" w:cs="Times New Roman"/>
                <w:sz w:val="20"/>
                <w:szCs w:val="20"/>
              </w:rPr>
              <w:t xml:space="preserve"> Adjusted R</w:t>
            </w:r>
            <w:r w:rsidRPr="00CE3C46">
              <w:rPr>
                <w:rFonts w:ascii="Times New Roman" w:hAnsi="Times New Roman" w:cs="Times New Roman"/>
                <w:sz w:val="20"/>
                <w:szCs w:val="20"/>
                <w:vertAlign w:val="superscript"/>
              </w:rPr>
              <w:t>2</w:t>
            </w:r>
          </w:p>
        </w:tc>
      </w:tr>
      <w:tr w:rsidR="00B50DC0" w:rsidRPr="00CE3C46" w14:paraId="106C4062" w14:textId="77777777" w:rsidTr="00765BC4">
        <w:trPr>
          <w:trHeight w:val="206"/>
          <w:jc w:val="center"/>
        </w:trPr>
        <w:tc>
          <w:tcPr>
            <w:tcW w:w="1520" w:type="dxa"/>
            <w:tcBorders>
              <w:top w:val="single" w:sz="4" w:space="0" w:color="auto"/>
            </w:tcBorders>
            <w:hideMark/>
          </w:tcPr>
          <w:p w14:paraId="0EB36F69" w14:textId="3AED9F8E" w:rsidR="00B50DC0" w:rsidRPr="00CE3C46" w:rsidRDefault="00067C1A" w:rsidP="00C70EA1">
            <w:pPr>
              <w:spacing w:line="240" w:lineRule="auto"/>
              <w:jc w:val="both"/>
              <w:rPr>
                <w:rFonts w:ascii="Times New Roman" w:hAnsi="Times New Roman" w:cs="Times New Roman"/>
                <w:sz w:val="20"/>
                <w:szCs w:val="20"/>
              </w:rPr>
            </w:pPr>
            <w:r w:rsidRPr="00CE3C46">
              <w:rPr>
                <w:rFonts w:ascii="Times New Roman" w:hAnsi="Times New Roman" w:cs="Times New Roman"/>
                <w:sz w:val="20"/>
                <w:szCs w:val="20"/>
              </w:rPr>
              <w:t xml:space="preserve">a. </w:t>
            </w:r>
            <w:r w:rsidR="00B50DC0" w:rsidRPr="00CE3C46">
              <w:rPr>
                <w:rFonts w:ascii="Times New Roman" w:hAnsi="Times New Roman" w:cs="Times New Roman"/>
                <w:sz w:val="20"/>
                <w:szCs w:val="20"/>
              </w:rPr>
              <w:t>IOCA</w:t>
            </w:r>
          </w:p>
        </w:tc>
        <w:tc>
          <w:tcPr>
            <w:tcW w:w="790" w:type="dxa"/>
            <w:tcBorders>
              <w:top w:val="single" w:sz="4" w:space="0" w:color="auto"/>
            </w:tcBorders>
            <w:hideMark/>
          </w:tcPr>
          <w:p w14:paraId="14C5BEBA" w14:textId="15CA391E" w:rsidR="00B50DC0" w:rsidRPr="00CE3C46" w:rsidRDefault="00B50DC0" w:rsidP="00C70EA1">
            <w:pPr>
              <w:spacing w:line="240" w:lineRule="auto"/>
              <w:jc w:val="both"/>
              <w:rPr>
                <w:rFonts w:ascii="Times New Roman" w:hAnsi="Times New Roman" w:cs="Times New Roman"/>
                <w:sz w:val="20"/>
                <w:szCs w:val="20"/>
              </w:rPr>
            </w:pPr>
            <w:r w:rsidRPr="00CE3C46">
              <w:rPr>
                <w:rFonts w:ascii="Times New Roman" w:hAnsi="Times New Roman" w:cs="Times New Roman"/>
                <w:color w:val="010205"/>
                <w:sz w:val="20"/>
                <w:szCs w:val="20"/>
              </w:rPr>
              <w:t>-.</w:t>
            </w:r>
            <w:r w:rsidR="00A61816" w:rsidRPr="00CE3C46">
              <w:rPr>
                <w:rFonts w:ascii="Times New Roman" w:hAnsi="Times New Roman" w:cs="Times New Roman"/>
                <w:color w:val="010205"/>
                <w:sz w:val="20"/>
                <w:szCs w:val="20"/>
              </w:rPr>
              <w:t>146</w:t>
            </w:r>
          </w:p>
        </w:tc>
        <w:tc>
          <w:tcPr>
            <w:tcW w:w="1344" w:type="dxa"/>
            <w:tcBorders>
              <w:top w:val="single" w:sz="4" w:space="0" w:color="auto"/>
            </w:tcBorders>
            <w:hideMark/>
          </w:tcPr>
          <w:p w14:paraId="0132A62A" w14:textId="7602A273" w:rsidR="00B50DC0" w:rsidRPr="00CE3C46" w:rsidRDefault="00B50DC0" w:rsidP="00C70EA1">
            <w:pPr>
              <w:spacing w:line="240" w:lineRule="auto"/>
              <w:jc w:val="both"/>
              <w:rPr>
                <w:rFonts w:ascii="Times New Roman" w:hAnsi="Times New Roman" w:cs="Times New Roman"/>
                <w:sz w:val="20"/>
                <w:szCs w:val="20"/>
              </w:rPr>
            </w:pPr>
            <w:r w:rsidRPr="00CE3C46">
              <w:rPr>
                <w:rFonts w:ascii="Times New Roman" w:hAnsi="Times New Roman" w:cs="Times New Roman"/>
                <w:color w:val="010205"/>
                <w:sz w:val="20"/>
                <w:szCs w:val="20"/>
              </w:rPr>
              <w:t>.0</w:t>
            </w:r>
            <w:r w:rsidR="00A61816" w:rsidRPr="00CE3C46">
              <w:rPr>
                <w:rFonts w:ascii="Times New Roman" w:hAnsi="Times New Roman" w:cs="Times New Roman"/>
                <w:color w:val="010205"/>
                <w:sz w:val="20"/>
                <w:szCs w:val="20"/>
              </w:rPr>
              <w:t>6</w:t>
            </w:r>
            <w:r w:rsidR="00D82A5E" w:rsidRPr="00CE3C46">
              <w:rPr>
                <w:rFonts w:ascii="Times New Roman" w:hAnsi="Times New Roman" w:cs="Times New Roman"/>
                <w:color w:val="010205"/>
                <w:sz w:val="20"/>
                <w:szCs w:val="20"/>
              </w:rPr>
              <w:t>9</w:t>
            </w:r>
          </w:p>
        </w:tc>
        <w:tc>
          <w:tcPr>
            <w:tcW w:w="987" w:type="dxa"/>
            <w:tcBorders>
              <w:top w:val="single" w:sz="4" w:space="0" w:color="auto"/>
            </w:tcBorders>
            <w:hideMark/>
          </w:tcPr>
          <w:p w14:paraId="0F1D3C67" w14:textId="1B98E7AC" w:rsidR="00B50DC0" w:rsidRPr="00CE3C46" w:rsidRDefault="00B50DC0" w:rsidP="00C70EA1">
            <w:pPr>
              <w:spacing w:line="240" w:lineRule="auto"/>
              <w:jc w:val="both"/>
              <w:rPr>
                <w:rFonts w:ascii="Times New Roman" w:hAnsi="Times New Roman" w:cs="Times New Roman"/>
                <w:color w:val="010205"/>
                <w:sz w:val="20"/>
                <w:szCs w:val="20"/>
              </w:rPr>
            </w:pPr>
            <w:r w:rsidRPr="00CE3C46">
              <w:rPr>
                <w:rFonts w:ascii="Times New Roman" w:hAnsi="Times New Roman" w:cs="Times New Roman"/>
                <w:color w:val="010205"/>
                <w:sz w:val="20"/>
                <w:szCs w:val="20"/>
              </w:rPr>
              <w:t>-.0</w:t>
            </w:r>
            <w:r w:rsidR="00A61816" w:rsidRPr="00CE3C46">
              <w:rPr>
                <w:rFonts w:ascii="Times New Roman" w:hAnsi="Times New Roman" w:cs="Times New Roman"/>
                <w:color w:val="010205"/>
                <w:sz w:val="20"/>
                <w:szCs w:val="20"/>
              </w:rPr>
              <w:t>72</w:t>
            </w:r>
          </w:p>
        </w:tc>
        <w:tc>
          <w:tcPr>
            <w:tcW w:w="719" w:type="dxa"/>
            <w:tcBorders>
              <w:top w:val="single" w:sz="4" w:space="0" w:color="auto"/>
            </w:tcBorders>
            <w:hideMark/>
          </w:tcPr>
          <w:p w14:paraId="6FA2F629" w14:textId="49841122" w:rsidR="00B50DC0" w:rsidRPr="00CE3C46" w:rsidRDefault="00B50DC0" w:rsidP="00C70EA1">
            <w:pPr>
              <w:spacing w:line="240" w:lineRule="auto"/>
              <w:jc w:val="both"/>
              <w:rPr>
                <w:rFonts w:ascii="Times New Roman" w:hAnsi="Times New Roman" w:cs="Times New Roman"/>
                <w:sz w:val="20"/>
                <w:szCs w:val="20"/>
              </w:rPr>
            </w:pPr>
            <w:r w:rsidRPr="00CE3C46">
              <w:rPr>
                <w:rFonts w:ascii="Times New Roman" w:hAnsi="Times New Roman" w:cs="Times New Roman"/>
                <w:sz w:val="20"/>
                <w:szCs w:val="20"/>
              </w:rPr>
              <w:t>-2.</w:t>
            </w:r>
            <w:r w:rsidR="00A61816" w:rsidRPr="00CE3C46">
              <w:rPr>
                <w:rFonts w:ascii="Times New Roman" w:hAnsi="Times New Roman" w:cs="Times New Roman"/>
                <w:sz w:val="20"/>
                <w:szCs w:val="20"/>
              </w:rPr>
              <w:t>19</w:t>
            </w:r>
          </w:p>
        </w:tc>
        <w:tc>
          <w:tcPr>
            <w:tcW w:w="674" w:type="dxa"/>
            <w:tcBorders>
              <w:top w:val="single" w:sz="4" w:space="0" w:color="auto"/>
            </w:tcBorders>
            <w:hideMark/>
          </w:tcPr>
          <w:p w14:paraId="59CA77D2" w14:textId="5DCD0343" w:rsidR="00B50DC0" w:rsidRPr="00CE3C46" w:rsidRDefault="00B50DC0" w:rsidP="00C70EA1">
            <w:pPr>
              <w:spacing w:line="240" w:lineRule="auto"/>
              <w:jc w:val="both"/>
              <w:rPr>
                <w:rFonts w:ascii="Times New Roman" w:hAnsi="Times New Roman" w:cs="Times New Roman"/>
                <w:sz w:val="20"/>
                <w:szCs w:val="20"/>
              </w:rPr>
            </w:pPr>
            <w:r w:rsidRPr="00CE3C46">
              <w:rPr>
                <w:rFonts w:ascii="Times New Roman" w:hAnsi="Times New Roman" w:cs="Times New Roman"/>
                <w:color w:val="010205"/>
                <w:sz w:val="20"/>
                <w:szCs w:val="20"/>
              </w:rPr>
              <w:t xml:space="preserve">  .0</w:t>
            </w:r>
            <w:r w:rsidR="00A61816" w:rsidRPr="00CE3C46">
              <w:rPr>
                <w:rFonts w:ascii="Times New Roman" w:hAnsi="Times New Roman" w:cs="Times New Roman"/>
                <w:color w:val="010205"/>
                <w:sz w:val="20"/>
                <w:szCs w:val="20"/>
              </w:rPr>
              <w:t>34</w:t>
            </w:r>
          </w:p>
        </w:tc>
        <w:tc>
          <w:tcPr>
            <w:tcW w:w="708" w:type="dxa"/>
            <w:tcBorders>
              <w:top w:val="single" w:sz="4" w:space="0" w:color="auto"/>
            </w:tcBorders>
            <w:shd w:val="clear" w:color="auto" w:fill="FFFFFF"/>
            <w:hideMark/>
          </w:tcPr>
          <w:p w14:paraId="47638B54" w14:textId="68F66B04" w:rsidR="00B50DC0" w:rsidRPr="00CE3C46" w:rsidRDefault="00B50DC0" w:rsidP="00C70EA1">
            <w:pPr>
              <w:spacing w:line="240" w:lineRule="auto"/>
              <w:jc w:val="both"/>
              <w:rPr>
                <w:rFonts w:ascii="Times New Roman" w:hAnsi="Times New Roman" w:cs="Times New Roman"/>
                <w:color w:val="010205"/>
                <w:sz w:val="20"/>
                <w:szCs w:val="20"/>
              </w:rPr>
            </w:pPr>
            <w:r w:rsidRPr="00CE3C46">
              <w:rPr>
                <w:rFonts w:ascii="Times New Roman" w:hAnsi="Times New Roman" w:cs="Times New Roman"/>
                <w:color w:val="010205"/>
                <w:sz w:val="20"/>
                <w:szCs w:val="20"/>
              </w:rPr>
              <w:t>.0</w:t>
            </w:r>
            <w:r w:rsidR="00A61816" w:rsidRPr="00CE3C46">
              <w:rPr>
                <w:rFonts w:ascii="Times New Roman" w:hAnsi="Times New Roman" w:cs="Times New Roman"/>
                <w:color w:val="010205"/>
                <w:sz w:val="20"/>
                <w:szCs w:val="20"/>
              </w:rPr>
              <w:t>72</w:t>
            </w:r>
            <w:r w:rsidRPr="00CE3C46">
              <w:rPr>
                <w:rFonts w:ascii="Times New Roman" w:hAnsi="Times New Roman" w:cs="Times New Roman"/>
                <w:color w:val="010205"/>
                <w:sz w:val="20"/>
                <w:szCs w:val="20"/>
                <w:vertAlign w:val="superscript"/>
              </w:rPr>
              <w:t>a</w:t>
            </w:r>
          </w:p>
        </w:tc>
        <w:tc>
          <w:tcPr>
            <w:tcW w:w="718" w:type="dxa"/>
            <w:tcBorders>
              <w:top w:val="single" w:sz="4" w:space="0" w:color="auto"/>
            </w:tcBorders>
            <w:shd w:val="clear" w:color="auto" w:fill="FFFFFF"/>
            <w:hideMark/>
          </w:tcPr>
          <w:p w14:paraId="50E4FFC3" w14:textId="1F2E97BD" w:rsidR="00B50DC0" w:rsidRPr="00CE3C46" w:rsidRDefault="00B50DC0" w:rsidP="00C70EA1">
            <w:pPr>
              <w:spacing w:line="240" w:lineRule="auto"/>
              <w:jc w:val="both"/>
              <w:rPr>
                <w:rFonts w:ascii="Times New Roman" w:hAnsi="Times New Roman" w:cs="Times New Roman"/>
                <w:color w:val="010205"/>
                <w:sz w:val="20"/>
                <w:szCs w:val="20"/>
              </w:rPr>
            </w:pPr>
            <w:r w:rsidRPr="00CE3C46">
              <w:rPr>
                <w:rFonts w:ascii="Times New Roman" w:hAnsi="Times New Roman" w:cs="Times New Roman"/>
                <w:color w:val="010205"/>
                <w:sz w:val="20"/>
                <w:szCs w:val="20"/>
              </w:rPr>
              <w:t xml:space="preserve">   .00</w:t>
            </w:r>
            <w:r w:rsidR="00A61816" w:rsidRPr="00CE3C46">
              <w:rPr>
                <w:rFonts w:ascii="Times New Roman" w:hAnsi="Times New Roman" w:cs="Times New Roman"/>
                <w:color w:val="010205"/>
                <w:sz w:val="20"/>
                <w:szCs w:val="20"/>
              </w:rPr>
              <w:t>5</w:t>
            </w:r>
          </w:p>
        </w:tc>
        <w:tc>
          <w:tcPr>
            <w:tcW w:w="1516" w:type="dxa"/>
            <w:tcBorders>
              <w:top w:val="single" w:sz="4" w:space="0" w:color="auto"/>
            </w:tcBorders>
            <w:shd w:val="clear" w:color="auto" w:fill="FFFFFF"/>
            <w:hideMark/>
          </w:tcPr>
          <w:p w14:paraId="7C34CB68" w14:textId="1ECC5543" w:rsidR="00B50DC0" w:rsidRPr="00CE3C46" w:rsidRDefault="00B50DC0" w:rsidP="00C70EA1">
            <w:pPr>
              <w:spacing w:line="240" w:lineRule="auto"/>
              <w:jc w:val="both"/>
              <w:rPr>
                <w:rFonts w:ascii="Times New Roman" w:hAnsi="Times New Roman" w:cs="Times New Roman"/>
                <w:color w:val="010205"/>
                <w:sz w:val="20"/>
                <w:szCs w:val="20"/>
              </w:rPr>
            </w:pPr>
            <w:r w:rsidRPr="00CE3C46">
              <w:rPr>
                <w:rFonts w:ascii="Times New Roman" w:hAnsi="Times New Roman" w:cs="Times New Roman"/>
                <w:color w:val="010205"/>
                <w:sz w:val="20"/>
                <w:szCs w:val="20"/>
              </w:rPr>
              <w:t xml:space="preserve">             .00</w:t>
            </w:r>
            <w:r w:rsidR="00A61816" w:rsidRPr="00CE3C46">
              <w:rPr>
                <w:rFonts w:ascii="Times New Roman" w:hAnsi="Times New Roman" w:cs="Times New Roman"/>
                <w:color w:val="010205"/>
                <w:sz w:val="20"/>
                <w:szCs w:val="20"/>
              </w:rPr>
              <w:t>4</w:t>
            </w:r>
          </w:p>
        </w:tc>
      </w:tr>
      <w:tr w:rsidR="00067C1A" w:rsidRPr="00CE3C46" w14:paraId="29729842" w14:textId="77777777" w:rsidTr="00765BC4">
        <w:trPr>
          <w:trHeight w:val="206"/>
          <w:jc w:val="center"/>
        </w:trPr>
        <w:tc>
          <w:tcPr>
            <w:tcW w:w="1520" w:type="dxa"/>
          </w:tcPr>
          <w:p w14:paraId="394EAEDA" w14:textId="6C0B0443" w:rsidR="00067C1A" w:rsidRPr="00CE3C46" w:rsidRDefault="00067C1A" w:rsidP="00C70EA1">
            <w:pPr>
              <w:spacing w:line="240" w:lineRule="auto"/>
              <w:jc w:val="both"/>
              <w:rPr>
                <w:rFonts w:ascii="Times New Roman" w:hAnsi="Times New Roman" w:cs="Times New Roman"/>
                <w:sz w:val="20"/>
                <w:szCs w:val="20"/>
              </w:rPr>
            </w:pPr>
            <w:r w:rsidRPr="00CE3C46">
              <w:rPr>
                <w:rFonts w:ascii="Times New Roman" w:hAnsi="Times New Roman" w:cs="Times New Roman"/>
                <w:sz w:val="20"/>
                <w:szCs w:val="20"/>
              </w:rPr>
              <w:t>b. IOCA</w:t>
            </w:r>
          </w:p>
        </w:tc>
        <w:tc>
          <w:tcPr>
            <w:tcW w:w="790" w:type="dxa"/>
          </w:tcPr>
          <w:p w14:paraId="1A96B7AA" w14:textId="31A25C92" w:rsidR="00067C1A" w:rsidRPr="00CE3C46" w:rsidRDefault="00D82A5E" w:rsidP="00C70EA1">
            <w:pPr>
              <w:spacing w:line="240" w:lineRule="auto"/>
              <w:jc w:val="both"/>
              <w:rPr>
                <w:rFonts w:ascii="Times New Roman" w:hAnsi="Times New Roman" w:cs="Times New Roman"/>
                <w:color w:val="010205"/>
                <w:sz w:val="20"/>
                <w:szCs w:val="20"/>
              </w:rPr>
            </w:pPr>
            <w:r w:rsidRPr="00CE3C46">
              <w:rPr>
                <w:rFonts w:ascii="Times New Roman" w:hAnsi="Times New Roman" w:cs="Times New Roman"/>
                <w:sz w:val="20"/>
                <w:szCs w:val="20"/>
              </w:rPr>
              <w:t xml:space="preserve">- </w:t>
            </w:r>
            <w:r w:rsidR="00067C1A" w:rsidRPr="00CE3C46">
              <w:rPr>
                <w:rFonts w:ascii="Times New Roman" w:hAnsi="Times New Roman" w:cs="Times New Roman"/>
                <w:sz w:val="20"/>
                <w:szCs w:val="20"/>
              </w:rPr>
              <w:t>.00</w:t>
            </w:r>
            <w:r w:rsidRPr="00CE3C46">
              <w:rPr>
                <w:rFonts w:ascii="Times New Roman" w:hAnsi="Times New Roman" w:cs="Times New Roman"/>
                <w:sz w:val="20"/>
                <w:szCs w:val="20"/>
              </w:rPr>
              <w:t>2</w:t>
            </w:r>
            <w:r w:rsidR="00067C1A" w:rsidRPr="00CE3C46">
              <w:rPr>
                <w:rFonts w:ascii="Times New Roman" w:hAnsi="Times New Roman" w:cs="Times New Roman"/>
                <w:sz w:val="20"/>
                <w:szCs w:val="20"/>
              </w:rPr>
              <w:t xml:space="preserve">  </w:t>
            </w:r>
          </w:p>
        </w:tc>
        <w:tc>
          <w:tcPr>
            <w:tcW w:w="1344" w:type="dxa"/>
          </w:tcPr>
          <w:p w14:paraId="2310BFC3" w14:textId="4E19A5C1" w:rsidR="00067C1A" w:rsidRPr="00CE3C46" w:rsidRDefault="00067C1A" w:rsidP="00C70EA1">
            <w:pPr>
              <w:spacing w:line="240" w:lineRule="auto"/>
              <w:jc w:val="both"/>
              <w:rPr>
                <w:rFonts w:ascii="Times New Roman" w:hAnsi="Times New Roman" w:cs="Times New Roman"/>
                <w:color w:val="010205"/>
                <w:sz w:val="20"/>
                <w:szCs w:val="20"/>
              </w:rPr>
            </w:pPr>
            <w:r w:rsidRPr="00CE3C46">
              <w:rPr>
                <w:rFonts w:ascii="Times New Roman" w:hAnsi="Times New Roman" w:cs="Times New Roman"/>
                <w:color w:val="010205"/>
                <w:sz w:val="20"/>
                <w:szCs w:val="20"/>
              </w:rPr>
              <w:t>.0</w:t>
            </w:r>
            <w:r w:rsidR="00D82A5E" w:rsidRPr="00CE3C46">
              <w:rPr>
                <w:rFonts w:ascii="Times New Roman" w:hAnsi="Times New Roman" w:cs="Times New Roman"/>
                <w:color w:val="010205"/>
                <w:sz w:val="20"/>
                <w:szCs w:val="20"/>
              </w:rPr>
              <w:t>37</w:t>
            </w:r>
            <w:r w:rsidRPr="00CE3C46">
              <w:rPr>
                <w:rFonts w:ascii="Times New Roman" w:hAnsi="Times New Roman" w:cs="Times New Roman"/>
                <w:color w:val="010205"/>
                <w:sz w:val="20"/>
                <w:szCs w:val="20"/>
              </w:rPr>
              <w:t xml:space="preserve"> </w:t>
            </w:r>
          </w:p>
        </w:tc>
        <w:tc>
          <w:tcPr>
            <w:tcW w:w="987" w:type="dxa"/>
          </w:tcPr>
          <w:p w14:paraId="54996EDC" w14:textId="7A495EEC" w:rsidR="00067C1A" w:rsidRPr="00CE3C46" w:rsidRDefault="00D82A5E" w:rsidP="00C70EA1">
            <w:pPr>
              <w:spacing w:line="240" w:lineRule="auto"/>
              <w:jc w:val="both"/>
              <w:rPr>
                <w:rFonts w:ascii="Times New Roman" w:hAnsi="Times New Roman" w:cs="Times New Roman"/>
                <w:color w:val="010205"/>
                <w:sz w:val="20"/>
                <w:szCs w:val="20"/>
              </w:rPr>
            </w:pPr>
            <w:r w:rsidRPr="00CE3C46">
              <w:rPr>
                <w:rFonts w:ascii="Times New Roman" w:hAnsi="Times New Roman" w:cs="Times New Roman"/>
                <w:color w:val="010205"/>
                <w:sz w:val="20"/>
                <w:szCs w:val="20"/>
              </w:rPr>
              <w:t>-</w:t>
            </w:r>
            <w:r w:rsidR="00067C1A" w:rsidRPr="00CE3C46">
              <w:rPr>
                <w:rFonts w:ascii="Times New Roman" w:hAnsi="Times New Roman" w:cs="Times New Roman"/>
                <w:color w:val="010205"/>
                <w:sz w:val="20"/>
                <w:szCs w:val="20"/>
              </w:rPr>
              <w:t>.0</w:t>
            </w:r>
            <w:r w:rsidRPr="00CE3C46">
              <w:rPr>
                <w:rFonts w:ascii="Times New Roman" w:hAnsi="Times New Roman" w:cs="Times New Roman"/>
                <w:color w:val="010205"/>
                <w:sz w:val="20"/>
                <w:szCs w:val="20"/>
              </w:rPr>
              <w:t>04</w:t>
            </w:r>
          </w:p>
        </w:tc>
        <w:tc>
          <w:tcPr>
            <w:tcW w:w="719" w:type="dxa"/>
          </w:tcPr>
          <w:p w14:paraId="1D3ED1A7" w14:textId="369D737B" w:rsidR="00067C1A" w:rsidRPr="00CE3C46" w:rsidRDefault="00CE3C46" w:rsidP="00C70EA1">
            <w:pPr>
              <w:spacing w:line="240" w:lineRule="auto"/>
              <w:jc w:val="both"/>
              <w:rPr>
                <w:rFonts w:ascii="Times New Roman" w:hAnsi="Times New Roman" w:cs="Times New Roman"/>
                <w:sz w:val="20"/>
                <w:szCs w:val="20"/>
              </w:rPr>
            </w:pPr>
            <w:r w:rsidRPr="00CE3C46">
              <w:rPr>
                <w:rFonts w:ascii="Times New Roman" w:hAnsi="Times New Roman" w:cs="Times New Roman"/>
                <w:sz w:val="20"/>
                <w:szCs w:val="20"/>
              </w:rPr>
              <w:t>-.054</w:t>
            </w:r>
          </w:p>
        </w:tc>
        <w:tc>
          <w:tcPr>
            <w:tcW w:w="674" w:type="dxa"/>
          </w:tcPr>
          <w:p w14:paraId="0DFDC472" w14:textId="51083F7E" w:rsidR="00067C1A" w:rsidRPr="00CE3C46" w:rsidRDefault="00067C1A" w:rsidP="00C70EA1">
            <w:pPr>
              <w:spacing w:line="240" w:lineRule="auto"/>
              <w:jc w:val="both"/>
              <w:rPr>
                <w:rFonts w:ascii="Times New Roman" w:hAnsi="Times New Roman" w:cs="Times New Roman"/>
                <w:color w:val="010205"/>
                <w:sz w:val="20"/>
                <w:szCs w:val="20"/>
              </w:rPr>
            </w:pPr>
            <w:r w:rsidRPr="00CE3C46">
              <w:rPr>
                <w:rFonts w:ascii="Times New Roman" w:hAnsi="Times New Roman" w:cs="Times New Roman"/>
                <w:color w:val="010205"/>
                <w:sz w:val="20"/>
                <w:szCs w:val="20"/>
              </w:rPr>
              <w:t>.9</w:t>
            </w:r>
            <w:r w:rsidR="00D82A5E" w:rsidRPr="00CE3C46">
              <w:rPr>
                <w:rFonts w:ascii="Times New Roman" w:hAnsi="Times New Roman" w:cs="Times New Roman"/>
                <w:color w:val="010205"/>
                <w:sz w:val="20"/>
                <w:szCs w:val="20"/>
              </w:rPr>
              <w:t>57</w:t>
            </w:r>
          </w:p>
        </w:tc>
        <w:tc>
          <w:tcPr>
            <w:tcW w:w="708" w:type="dxa"/>
            <w:shd w:val="clear" w:color="auto" w:fill="FFFFFF"/>
          </w:tcPr>
          <w:p w14:paraId="5B65F58C" w14:textId="58C0ABF7" w:rsidR="00067C1A" w:rsidRPr="00CE3C46" w:rsidRDefault="00067C1A" w:rsidP="00C70EA1">
            <w:pPr>
              <w:spacing w:line="240" w:lineRule="auto"/>
              <w:jc w:val="both"/>
              <w:rPr>
                <w:rFonts w:ascii="Times New Roman" w:hAnsi="Times New Roman" w:cs="Times New Roman"/>
                <w:color w:val="010205"/>
                <w:sz w:val="20"/>
                <w:szCs w:val="20"/>
              </w:rPr>
            </w:pPr>
            <w:r w:rsidRPr="00CE3C46">
              <w:rPr>
                <w:rFonts w:ascii="Times New Roman" w:hAnsi="Times New Roman" w:cs="Times New Roman"/>
                <w:color w:val="010205"/>
                <w:sz w:val="20"/>
                <w:szCs w:val="20"/>
              </w:rPr>
              <w:t>.0</w:t>
            </w:r>
            <w:r w:rsidR="00CE3C46" w:rsidRPr="00CE3C46">
              <w:rPr>
                <w:rFonts w:ascii="Times New Roman" w:hAnsi="Times New Roman" w:cs="Times New Roman"/>
                <w:color w:val="010205"/>
                <w:sz w:val="20"/>
                <w:szCs w:val="20"/>
              </w:rPr>
              <w:t>04</w:t>
            </w:r>
            <w:r w:rsidRPr="00CE3C46">
              <w:rPr>
                <w:rFonts w:ascii="Times New Roman" w:hAnsi="Times New Roman" w:cs="Times New Roman"/>
                <w:color w:val="010205"/>
                <w:sz w:val="20"/>
                <w:szCs w:val="20"/>
                <w:vertAlign w:val="superscript"/>
              </w:rPr>
              <w:t>a</w:t>
            </w:r>
          </w:p>
        </w:tc>
        <w:tc>
          <w:tcPr>
            <w:tcW w:w="718" w:type="dxa"/>
            <w:shd w:val="clear" w:color="auto" w:fill="FFFFFF"/>
          </w:tcPr>
          <w:p w14:paraId="7189D52C" w14:textId="3F30EF58" w:rsidR="00067C1A" w:rsidRPr="00CE3C46" w:rsidRDefault="00067C1A" w:rsidP="00C70EA1">
            <w:pPr>
              <w:spacing w:line="240" w:lineRule="auto"/>
              <w:jc w:val="both"/>
              <w:rPr>
                <w:rFonts w:ascii="Times New Roman" w:hAnsi="Times New Roman" w:cs="Times New Roman"/>
                <w:color w:val="010205"/>
                <w:sz w:val="20"/>
                <w:szCs w:val="20"/>
              </w:rPr>
            </w:pPr>
            <w:r w:rsidRPr="00CE3C46">
              <w:rPr>
                <w:rFonts w:ascii="Times New Roman" w:hAnsi="Times New Roman" w:cs="Times New Roman"/>
                <w:color w:val="010205"/>
                <w:sz w:val="20"/>
                <w:szCs w:val="20"/>
              </w:rPr>
              <w:t xml:space="preserve"> .000        </w:t>
            </w:r>
          </w:p>
        </w:tc>
        <w:tc>
          <w:tcPr>
            <w:tcW w:w="1516" w:type="dxa"/>
            <w:shd w:val="clear" w:color="auto" w:fill="FFFFFF"/>
          </w:tcPr>
          <w:p w14:paraId="4FC3E69B" w14:textId="461AD3B2" w:rsidR="00067C1A" w:rsidRPr="00CE3C46" w:rsidRDefault="00067C1A" w:rsidP="00C70EA1">
            <w:pPr>
              <w:spacing w:line="240" w:lineRule="auto"/>
              <w:jc w:val="both"/>
              <w:rPr>
                <w:rFonts w:ascii="Times New Roman" w:hAnsi="Times New Roman" w:cs="Times New Roman"/>
                <w:color w:val="010205"/>
                <w:sz w:val="20"/>
                <w:szCs w:val="20"/>
              </w:rPr>
            </w:pPr>
            <w:r w:rsidRPr="00CE3C46">
              <w:rPr>
                <w:rFonts w:ascii="Times New Roman" w:hAnsi="Times New Roman" w:cs="Times New Roman"/>
                <w:color w:val="010205"/>
                <w:sz w:val="20"/>
                <w:szCs w:val="20"/>
              </w:rPr>
              <w:t xml:space="preserve">         -.00</w:t>
            </w:r>
            <w:r w:rsidR="00CE3C46" w:rsidRPr="00CE3C46">
              <w:rPr>
                <w:rFonts w:ascii="Times New Roman" w:hAnsi="Times New Roman" w:cs="Times New Roman"/>
                <w:color w:val="010205"/>
                <w:sz w:val="20"/>
                <w:szCs w:val="20"/>
              </w:rPr>
              <w:t>6</w:t>
            </w:r>
          </w:p>
        </w:tc>
      </w:tr>
      <w:tr w:rsidR="00067C1A" w:rsidRPr="00CE3C46" w14:paraId="3C3BA9A9" w14:textId="77777777" w:rsidTr="000F1044">
        <w:trPr>
          <w:trHeight w:hRule="exact" w:val="279"/>
          <w:jc w:val="center"/>
        </w:trPr>
        <w:tc>
          <w:tcPr>
            <w:tcW w:w="1520" w:type="dxa"/>
          </w:tcPr>
          <w:p w14:paraId="23ED46D1" w14:textId="2FC300D1" w:rsidR="00067C1A" w:rsidRPr="00CE3C46" w:rsidRDefault="00067C1A" w:rsidP="00C70EA1">
            <w:pPr>
              <w:spacing w:line="240" w:lineRule="auto"/>
              <w:jc w:val="both"/>
              <w:rPr>
                <w:rFonts w:ascii="Times New Roman" w:hAnsi="Times New Roman" w:cs="Times New Roman"/>
                <w:sz w:val="20"/>
                <w:szCs w:val="20"/>
              </w:rPr>
            </w:pPr>
            <w:r w:rsidRPr="00CE3C46">
              <w:rPr>
                <w:rFonts w:ascii="Times New Roman" w:hAnsi="Times New Roman" w:cs="Times New Roman"/>
                <w:sz w:val="20"/>
                <w:szCs w:val="20"/>
              </w:rPr>
              <w:t>c. NOCA</w:t>
            </w:r>
          </w:p>
        </w:tc>
        <w:tc>
          <w:tcPr>
            <w:tcW w:w="790" w:type="dxa"/>
          </w:tcPr>
          <w:p w14:paraId="60C28622" w14:textId="11D7BFBA" w:rsidR="00067C1A" w:rsidRPr="00CE3C46" w:rsidRDefault="00067C1A" w:rsidP="00C70EA1">
            <w:pPr>
              <w:spacing w:line="240" w:lineRule="auto"/>
              <w:jc w:val="both"/>
              <w:rPr>
                <w:rFonts w:ascii="Times New Roman" w:hAnsi="Times New Roman" w:cs="Times New Roman"/>
                <w:color w:val="010205"/>
                <w:sz w:val="20"/>
                <w:szCs w:val="20"/>
              </w:rPr>
            </w:pPr>
            <w:r w:rsidRPr="00CE3C46">
              <w:rPr>
                <w:rFonts w:ascii="Times New Roman" w:hAnsi="Times New Roman" w:cs="Times New Roman"/>
                <w:sz w:val="20"/>
                <w:szCs w:val="20"/>
              </w:rPr>
              <w:t>.0</w:t>
            </w:r>
            <w:r w:rsidR="00D82A5E" w:rsidRPr="00CE3C46">
              <w:rPr>
                <w:rFonts w:ascii="Times New Roman" w:hAnsi="Times New Roman" w:cs="Times New Roman"/>
                <w:sz w:val="20"/>
                <w:szCs w:val="20"/>
              </w:rPr>
              <w:t>68</w:t>
            </w:r>
          </w:p>
        </w:tc>
        <w:tc>
          <w:tcPr>
            <w:tcW w:w="1344" w:type="dxa"/>
          </w:tcPr>
          <w:p w14:paraId="21A0A7C3" w14:textId="5517B740" w:rsidR="00067C1A" w:rsidRPr="00CE3C46" w:rsidRDefault="00067C1A" w:rsidP="00C70EA1">
            <w:pPr>
              <w:spacing w:line="240" w:lineRule="auto"/>
              <w:jc w:val="both"/>
              <w:rPr>
                <w:rFonts w:ascii="Times New Roman" w:hAnsi="Times New Roman" w:cs="Times New Roman"/>
                <w:color w:val="010205"/>
                <w:sz w:val="20"/>
                <w:szCs w:val="20"/>
              </w:rPr>
            </w:pPr>
            <w:r w:rsidRPr="00CE3C46">
              <w:rPr>
                <w:rFonts w:ascii="Times New Roman" w:hAnsi="Times New Roman" w:cs="Times New Roman"/>
                <w:color w:val="010205"/>
                <w:sz w:val="20"/>
                <w:szCs w:val="20"/>
              </w:rPr>
              <w:t>.0</w:t>
            </w:r>
            <w:r w:rsidR="00D82A5E" w:rsidRPr="00CE3C46">
              <w:rPr>
                <w:rFonts w:ascii="Times New Roman" w:hAnsi="Times New Roman" w:cs="Times New Roman"/>
                <w:color w:val="010205"/>
                <w:sz w:val="20"/>
                <w:szCs w:val="20"/>
              </w:rPr>
              <w:t>19</w:t>
            </w:r>
          </w:p>
        </w:tc>
        <w:tc>
          <w:tcPr>
            <w:tcW w:w="987" w:type="dxa"/>
          </w:tcPr>
          <w:p w14:paraId="2B509C6A" w14:textId="535C84EF" w:rsidR="00067C1A" w:rsidRPr="00CE3C46" w:rsidRDefault="00D82A5E" w:rsidP="00C70EA1">
            <w:pPr>
              <w:spacing w:line="240" w:lineRule="auto"/>
              <w:jc w:val="both"/>
              <w:rPr>
                <w:rFonts w:ascii="Times New Roman" w:hAnsi="Times New Roman" w:cs="Times New Roman"/>
                <w:color w:val="010205"/>
                <w:sz w:val="20"/>
                <w:szCs w:val="20"/>
              </w:rPr>
            </w:pPr>
            <w:r w:rsidRPr="00CE3C46">
              <w:rPr>
                <w:rFonts w:ascii="Times New Roman" w:hAnsi="Times New Roman" w:cs="Times New Roman"/>
                <w:color w:val="010205"/>
                <w:sz w:val="20"/>
                <w:szCs w:val="20"/>
              </w:rPr>
              <w:t xml:space="preserve">. </w:t>
            </w:r>
            <w:r w:rsidR="00067C1A" w:rsidRPr="00CE3C46">
              <w:rPr>
                <w:rFonts w:ascii="Times New Roman" w:hAnsi="Times New Roman" w:cs="Times New Roman"/>
                <w:color w:val="010205"/>
                <w:sz w:val="20"/>
                <w:szCs w:val="20"/>
              </w:rPr>
              <w:t>2</w:t>
            </w:r>
            <w:r w:rsidRPr="00CE3C46">
              <w:rPr>
                <w:rFonts w:ascii="Times New Roman" w:hAnsi="Times New Roman" w:cs="Times New Roman"/>
                <w:color w:val="010205"/>
                <w:sz w:val="20"/>
                <w:szCs w:val="20"/>
              </w:rPr>
              <w:t>70</w:t>
            </w:r>
          </w:p>
        </w:tc>
        <w:tc>
          <w:tcPr>
            <w:tcW w:w="719" w:type="dxa"/>
          </w:tcPr>
          <w:p w14:paraId="4E8D474E" w14:textId="775E73DE" w:rsidR="00067C1A" w:rsidRPr="00CE3C46" w:rsidRDefault="00D82A5E" w:rsidP="00C70EA1">
            <w:pPr>
              <w:spacing w:line="240" w:lineRule="auto"/>
              <w:jc w:val="both"/>
              <w:rPr>
                <w:rFonts w:ascii="Times New Roman" w:hAnsi="Times New Roman" w:cs="Times New Roman"/>
                <w:sz w:val="20"/>
                <w:szCs w:val="20"/>
              </w:rPr>
            </w:pPr>
            <w:r w:rsidRPr="00CE3C46">
              <w:rPr>
                <w:rFonts w:ascii="Times New Roman" w:hAnsi="Times New Roman" w:cs="Times New Roman"/>
                <w:sz w:val="20"/>
                <w:szCs w:val="20"/>
              </w:rPr>
              <w:t>3</w:t>
            </w:r>
            <w:r w:rsidR="00067C1A" w:rsidRPr="00CE3C46">
              <w:rPr>
                <w:rFonts w:ascii="Times New Roman" w:hAnsi="Times New Roman" w:cs="Times New Roman"/>
                <w:sz w:val="20"/>
                <w:szCs w:val="20"/>
              </w:rPr>
              <w:t>.</w:t>
            </w:r>
            <w:r w:rsidRPr="00CE3C46">
              <w:rPr>
                <w:rFonts w:ascii="Times New Roman" w:hAnsi="Times New Roman" w:cs="Times New Roman"/>
                <w:sz w:val="20"/>
                <w:szCs w:val="20"/>
              </w:rPr>
              <w:t>55</w:t>
            </w:r>
          </w:p>
        </w:tc>
        <w:tc>
          <w:tcPr>
            <w:tcW w:w="674" w:type="dxa"/>
          </w:tcPr>
          <w:p w14:paraId="1CF5490A" w14:textId="17BC579F" w:rsidR="00067C1A" w:rsidRPr="00CE3C46" w:rsidRDefault="00067C1A" w:rsidP="00C70EA1">
            <w:pPr>
              <w:spacing w:line="240" w:lineRule="auto"/>
              <w:jc w:val="both"/>
              <w:rPr>
                <w:rFonts w:ascii="Times New Roman" w:hAnsi="Times New Roman" w:cs="Times New Roman"/>
                <w:color w:val="010205"/>
                <w:sz w:val="20"/>
                <w:szCs w:val="20"/>
              </w:rPr>
            </w:pPr>
            <w:r w:rsidRPr="00CE3C46">
              <w:rPr>
                <w:rFonts w:ascii="Times New Roman" w:hAnsi="Times New Roman" w:cs="Times New Roman"/>
                <w:color w:val="010205"/>
                <w:sz w:val="20"/>
                <w:szCs w:val="20"/>
              </w:rPr>
              <w:t xml:space="preserve">  .00</w:t>
            </w:r>
            <w:r w:rsidR="00D82A5E" w:rsidRPr="00CE3C46">
              <w:rPr>
                <w:rFonts w:ascii="Times New Roman" w:hAnsi="Times New Roman" w:cs="Times New Roman"/>
                <w:color w:val="010205"/>
                <w:sz w:val="20"/>
                <w:szCs w:val="20"/>
              </w:rPr>
              <w:t>1</w:t>
            </w:r>
          </w:p>
        </w:tc>
        <w:tc>
          <w:tcPr>
            <w:tcW w:w="708" w:type="dxa"/>
            <w:shd w:val="clear" w:color="auto" w:fill="FFFFFF"/>
          </w:tcPr>
          <w:p w14:paraId="08FFC5F9" w14:textId="50B85371" w:rsidR="00067C1A" w:rsidRPr="00CE3C46" w:rsidRDefault="00067C1A" w:rsidP="00C70EA1">
            <w:pPr>
              <w:spacing w:line="240" w:lineRule="auto"/>
              <w:jc w:val="both"/>
              <w:rPr>
                <w:rFonts w:ascii="Times New Roman" w:hAnsi="Times New Roman" w:cs="Times New Roman"/>
                <w:color w:val="010205"/>
                <w:sz w:val="20"/>
                <w:szCs w:val="20"/>
              </w:rPr>
            </w:pPr>
            <w:r w:rsidRPr="00CE3C46">
              <w:rPr>
                <w:rFonts w:ascii="Times New Roman" w:hAnsi="Times New Roman" w:cs="Times New Roman"/>
                <w:color w:val="010205"/>
                <w:sz w:val="20"/>
                <w:szCs w:val="20"/>
              </w:rPr>
              <w:t>.2</w:t>
            </w:r>
            <w:r w:rsidR="00CE3C46" w:rsidRPr="00CE3C46">
              <w:rPr>
                <w:rFonts w:ascii="Times New Roman" w:hAnsi="Times New Roman" w:cs="Times New Roman"/>
                <w:color w:val="010205"/>
                <w:sz w:val="20"/>
                <w:szCs w:val="20"/>
              </w:rPr>
              <w:t>70</w:t>
            </w:r>
            <w:r w:rsidRPr="00CE3C46">
              <w:rPr>
                <w:rFonts w:ascii="Times New Roman" w:hAnsi="Times New Roman" w:cs="Times New Roman"/>
                <w:color w:val="010205"/>
                <w:sz w:val="20"/>
                <w:szCs w:val="20"/>
                <w:vertAlign w:val="superscript"/>
              </w:rPr>
              <w:t>a</w:t>
            </w:r>
          </w:p>
        </w:tc>
        <w:tc>
          <w:tcPr>
            <w:tcW w:w="718" w:type="dxa"/>
            <w:shd w:val="clear" w:color="auto" w:fill="FFFFFF"/>
          </w:tcPr>
          <w:p w14:paraId="575AA3EB" w14:textId="64AC0A79" w:rsidR="00067C1A" w:rsidRPr="00CE3C46" w:rsidRDefault="00067C1A" w:rsidP="00C70EA1">
            <w:pPr>
              <w:spacing w:line="240" w:lineRule="auto"/>
              <w:jc w:val="both"/>
              <w:rPr>
                <w:rFonts w:ascii="Times New Roman" w:hAnsi="Times New Roman" w:cs="Times New Roman"/>
                <w:color w:val="010205"/>
                <w:sz w:val="20"/>
                <w:szCs w:val="20"/>
              </w:rPr>
            </w:pPr>
            <w:r w:rsidRPr="00CE3C46">
              <w:rPr>
                <w:rFonts w:ascii="Times New Roman" w:hAnsi="Times New Roman" w:cs="Times New Roman"/>
                <w:color w:val="010205"/>
                <w:sz w:val="20"/>
                <w:szCs w:val="20"/>
              </w:rPr>
              <w:t>.0</w:t>
            </w:r>
            <w:r w:rsidR="00D82A5E" w:rsidRPr="00CE3C46">
              <w:rPr>
                <w:rFonts w:ascii="Times New Roman" w:hAnsi="Times New Roman" w:cs="Times New Roman"/>
                <w:color w:val="010205"/>
                <w:sz w:val="20"/>
                <w:szCs w:val="20"/>
              </w:rPr>
              <w:t>73</w:t>
            </w:r>
            <w:r w:rsidRPr="00CE3C46">
              <w:rPr>
                <w:rFonts w:ascii="Times New Roman" w:hAnsi="Times New Roman" w:cs="Times New Roman"/>
                <w:color w:val="010205"/>
                <w:sz w:val="20"/>
                <w:szCs w:val="20"/>
              </w:rPr>
              <w:t xml:space="preserve">                      </w:t>
            </w:r>
          </w:p>
        </w:tc>
        <w:tc>
          <w:tcPr>
            <w:tcW w:w="1516" w:type="dxa"/>
            <w:shd w:val="clear" w:color="auto" w:fill="FFFFFF"/>
          </w:tcPr>
          <w:p w14:paraId="4B4F4CA1" w14:textId="3E47EEFB" w:rsidR="00067C1A" w:rsidRPr="00CE3C46" w:rsidRDefault="00067C1A" w:rsidP="00C70EA1">
            <w:pPr>
              <w:spacing w:line="240" w:lineRule="auto"/>
              <w:jc w:val="both"/>
              <w:rPr>
                <w:rFonts w:ascii="Times New Roman" w:hAnsi="Times New Roman" w:cs="Times New Roman"/>
                <w:color w:val="010205"/>
                <w:sz w:val="20"/>
                <w:szCs w:val="20"/>
              </w:rPr>
            </w:pPr>
            <w:r w:rsidRPr="00CE3C46">
              <w:rPr>
                <w:rFonts w:ascii="Times New Roman" w:hAnsi="Times New Roman" w:cs="Times New Roman"/>
                <w:color w:val="010205"/>
                <w:sz w:val="20"/>
                <w:szCs w:val="20"/>
              </w:rPr>
              <w:t xml:space="preserve">              .0</w:t>
            </w:r>
            <w:r w:rsidR="00D82A5E" w:rsidRPr="00CE3C46">
              <w:rPr>
                <w:rFonts w:ascii="Times New Roman" w:hAnsi="Times New Roman" w:cs="Times New Roman"/>
                <w:color w:val="010205"/>
                <w:sz w:val="20"/>
                <w:szCs w:val="20"/>
              </w:rPr>
              <w:t>67</w:t>
            </w:r>
          </w:p>
        </w:tc>
      </w:tr>
    </w:tbl>
    <w:p w14:paraId="23EE9CC9" w14:textId="77777777" w:rsidR="00B50DC0" w:rsidRPr="00291B95" w:rsidRDefault="00B50DC0" w:rsidP="00C70EA1">
      <w:pPr>
        <w:pStyle w:val="ListParagraph"/>
        <w:numPr>
          <w:ilvl w:val="0"/>
          <w:numId w:val="20"/>
        </w:numPr>
        <w:spacing w:line="240" w:lineRule="auto"/>
        <w:jc w:val="both"/>
        <w:rPr>
          <w:rFonts w:ascii="Times New Roman" w:hAnsi="Times New Roman" w:cs="Times New Roman"/>
          <w:color w:val="000000"/>
          <w:sz w:val="24"/>
          <w:szCs w:val="24"/>
        </w:rPr>
      </w:pPr>
      <w:r w:rsidRPr="002944E9">
        <w:rPr>
          <w:rFonts w:ascii="Times New Roman" w:hAnsi="Times New Roman" w:cs="Times New Roman"/>
          <w:color w:val="010205"/>
          <w:sz w:val="24"/>
          <w:szCs w:val="24"/>
        </w:rPr>
        <w:t>Predictors: (Constant), IOCA</w:t>
      </w:r>
    </w:p>
    <w:p w14:paraId="6968D5CF" w14:textId="77777777" w:rsidR="00291B95" w:rsidRPr="00291B95" w:rsidRDefault="00291B95" w:rsidP="00C70EA1">
      <w:pPr>
        <w:pStyle w:val="ListParagraph"/>
        <w:numPr>
          <w:ilvl w:val="0"/>
          <w:numId w:val="20"/>
        </w:numPr>
        <w:spacing w:line="240" w:lineRule="auto"/>
        <w:jc w:val="both"/>
        <w:rPr>
          <w:rFonts w:ascii="Times New Roman" w:hAnsi="Times New Roman" w:cs="Times New Roman"/>
          <w:color w:val="000000"/>
          <w:sz w:val="24"/>
          <w:szCs w:val="24"/>
        </w:rPr>
      </w:pPr>
      <w:r w:rsidRPr="002944E9">
        <w:rPr>
          <w:rFonts w:ascii="Times New Roman" w:hAnsi="Times New Roman" w:cs="Times New Roman"/>
          <w:color w:val="010205"/>
          <w:sz w:val="24"/>
          <w:szCs w:val="24"/>
        </w:rPr>
        <w:t>Predictors: (Constant), IOCA</w:t>
      </w:r>
    </w:p>
    <w:p w14:paraId="3DBC4577" w14:textId="327E9C97" w:rsidR="00291B95" w:rsidRPr="0096324D" w:rsidRDefault="00291B95" w:rsidP="00C70EA1">
      <w:pPr>
        <w:pStyle w:val="ListParagraph"/>
        <w:numPr>
          <w:ilvl w:val="0"/>
          <w:numId w:val="20"/>
        </w:numPr>
        <w:spacing w:line="240" w:lineRule="auto"/>
        <w:jc w:val="both"/>
        <w:rPr>
          <w:rFonts w:ascii="Times New Roman" w:hAnsi="Times New Roman" w:cs="Times New Roman"/>
          <w:color w:val="000000"/>
          <w:sz w:val="24"/>
          <w:szCs w:val="24"/>
        </w:rPr>
      </w:pPr>
      <w:r w:rsidRPr="002944E9">
        <w:rPr>
          <w:rFonts w:ascii="Times New Roman" w:hAnsi="Times New Roman" w:cs="Times New Roman"/>
          <w:color w:val="010205"/>
          <w:sz w:val="24"/>
          <w:szCs w:val="24"/>
        </w:rPr>
        <w:t xml:space="preserve">Predictors: (Constant), </w:t>
      </w:r>
      <w:r>
        <w:rPr>
          <w:rFonts w:ascii="Times New Roman" w:hAnsi="Times New Roman" w:cs="Times New Roman"/>
          <w:color w:val="010205"/>
          <w:sz w:val="24"/>
          <w:szCs w:val="24"/>
        </w:rPr>
        <w:t>N</w:t>
      </w:r>
      <w:r w:rsidRPr="002944E9">
        <w:rPr>
          <w:rFonts w:ascii="Times New Roman" w:hAnsi="Times New Roman" w:cs="Times New Roman"/>
          <w:color w:val="010205"/>
          <w:sz w:val="24"/>
          <w:szCs w:val="24"/>
        </w:rPr>
        <w:t>OCA</w:t>
      </w:r>
    </w:p>
    <w:p w14:paraId="45F6AEA2" w14:textId="77777777" w:rsidR="00A36470" w:rsidRDefault="00A36470" w:rsidP="0096324D">
      <w:pPr>
        <w:spacing w:before="100" w:beforeAutospacing="1" w:after="100" w:afterAutospacing="1" w:line="360" w:lineRule="auto"/>
        <w:jc w:val="both"/>
        <w:rPr>
          <w:rFonts w:ascii="Times New Roman" w:eastAsia="Times New Roman" w:hAnsi="Times New Roman" w:cs="Times New Roman"/>
          <w:sz w:val="24"/>
          <w:szCs w:val="24"/>
        </w:rPr>
        <w:sectPr w:rsidR="00A36470" w:rsidSect="00A36470">
          <w:type w:val="continuous"/>
          <w:pgSz w:w="12240" w:h="15840"/>
          <w:pgMar w:top="1170" w:right="990" w:bottom="1170" w:left="990" w:header="720" w:footer="720" w:gutter="0"/>
          <w:cols w:space="720"/>
          <w:docGrid w:linePitch="360"/>
        </w:sectPr>
      </w:pPr>
    </w:p>
    <w:p w14:paraId="023FA162" w14:textId="09275BBA" w:rsidR="0096324D" w:rsidRPr="0096324D" w:rsidRDefault="002357B4" w:rsidP="00461530">
      <w:pPr>
        <w:spacing w:before="100" w:beforeAutospacing="1" w:after="100" w:afterAutospacing="1"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Table 3 the results of the </w:t>
      </w:r>
      <w:r w:rsidR="0096324D" w:rsidRPr="0096324D">
        <w:rPr>
          <w:rFonts w:ascii="Times New Roman" w:eastAsia="Times New Roman" w:hAnsi="Times New Roman" w:cs="Times New Roman"/>
          <w:sz w:val="24"/>
          <w:szCs w:val="24"/>
        </w:rPr>
        <w:t>regression analysis reveal</w:t>
      </w:r>
      <w:r>
        <w:rPr>
          <w:rFonts w:ascii="Times New Roman" w:eastAsia="Times New Roman" w:hAnsi="Times New Roman" w:cs="Times New Roman"/>
          <w:sz w:val="24"/>
          <w:szCs w:val="24"/>
        </w:rPr>
        <w:t>ed</w:t>
      </w:r>
      <w:r w:rsidR="0096324D" w:rsidRPr="0096324D">
        <w:rPr>
          <w:rFonts w:ascii="Times New Roman" w:eastAsia="Times New Roman" w:hAnsi="Times New Roman" w:cs="Times New Roman"/>
          <w:sz w:val="24"/>
          <w:szCs w:val="24"/>
        </w:rPr>
        <w:t xml:space="preserve"> that IOCA </w:t>
      </w:r>
      <w:r>
        <w:rPr>
          <w:rFonts w:ascii="Times New Roman" w:eastAsia="Times New Roman" w:hAnsi="Times New Roman" w:cs="Times New Roman"/>
          <w:sz w:val="24"/>
          <w:szCs w:val="24"/>
        </w:rPr>
        <w:t xml:space="preserve">found to </w:t>
      </w:r>
      <w:r w:rsidR="0096324D" w:rsidRPr="0096324D">
        <w:rPr>
          <w:rFonts w:ascii="Times New Roman" w:eastAsia="Times New Roman" w:hAnsi="Times New Roman" w:cs="Times New Roman"/>
          <w:sz w:val="24"/>
          <w:szCs w:val="24"/>
        </w:rPr>
        <w:t xml:space="preserve">a statistically significant predictor of NOCA, (β = -0.146, t = -2.19, p &lt; .05). However, the model explains only a very small portion of the variance in NOCA (R² = 0.005), indicating that it accounts for just 0.5% of the variance. The adjusted R² value of 0.004 further emphasizes the weak explanatory power, suggesting that the effect of IOCA on NOCA is minimal and that other factors likely </w:t>
      </w:r>
      <w:r w:rsidR="0096324D" w:rsidRPr="0096324D">
        <w:rPr>
          <w:rFonts w:ascii="Times New Roman" w:eastAsia="Times New Roman" w:hAnsi="Times New Roman" w:cs="Times New Roman"/>
          <w:sz w:val="24"/>
          <w:szCs w:val="24"/>
        </w:rPr>
        <w:t>contribute more significantly to the variation in NOCA.</w:t>
      </w:r>
    </w:p>
    <w:p w14:paraId="5E1ED1B1" w14:textId="77777777" w:rsidR="0096324D" w:rsidRPr="0096324D" w:rsidRDefault="0096324D" w:rsidP="00461530">
      <w:pPr>
        <w:spacing w:before="100" w:beforeAutospacing="1" w:after="100" w:afterAutospacing="1" w:line="276" w:lineRule="auto"/>
        <w:jc w:val="both"/>
        <w:rPr>
          <w:rFonts w:ascii="Times New Roman" w:eastAsia="Times New Roman" w:hAnsi="Times New Roman" w:cs="Times New Roman"/>
          <w:sz w:val="24"/>
          <w:szCs w:val="24"/>
        </w:rPr>
      </w:pPr>
      <w:r w:rsidRPr="0096324D">
        <w:rPr>
          <w:rFonts w:ascii="Times New Roman" w:eastAsia="Times New Roman" w:hAnsi="Times New Roman" w:cs="Times New Roman"/>
          <w:sz w:val="24"/>
          <w:szCs w:val="24"/>
        </w:rPr>
        <w:t xml:space="preserve">Additionally, IOCA is not a statistically significant predictor of ROCA (β = -0.002, t = -0.054, p &gt; .05). This finding implies that the model explains virtually no variance in ROCA (R² = 0.000), accounting for just 0.00% of the variance. The negative adjusted R² value (-0.006) indicates that the model is not a good fit for the data. Thus, IOCA does not have a significant </w:t>
      </w:r>
      <w:r w:rsidRPr="0096324D">
        <w:rPr>
          <w:rFonts w:ascii="Times New Roman" w:eastAsia="Times New Roman" w:hAnsi="Times New Roman" w:cs="Times New Roman"/>
          <w:sz w:val="24"/>
          <w:szCs w:val="24"/>
        </w:rPr>
        <w:lastRenderedPageBreak/>
        <w:t>effect on ROCA, and other factors likely play a larger role in explaining variations in ROCA.</w:t>
      </w:r>
    </w:p>
    <w:p w14:paraId="7E8ADBCC" w14:textId="6936C5D0" w:rsidR="00790158" w:rsidRPr="0096324D" w:rsidRDefault="0096324D" w:rsidP="00461530">
      <w:pPr>
        <w:spacing w:before="100" w:beforeAutospacing="1" w:after="100" w:afterAutospacing="1" w:line="276" w:lineRule="auto"/>
        <w:jc w:val="both"/>
        <w:rPr>
          <w:rFonts w:ascii="Times New Roman" w:eastAsia="Times New Roman" w:hAnsi="Times New Roman" w:cs="Times New Roman"/>
          <w:sz w:val="24"/>
          <w:szCs w:val="24"/>
        </w:rPr>
      </w:pPr>
      <w:r w:rsidRPr="0096324D">
        <w:rPr>
          <w:rFonts w:ascii="Times New Roman" w:eastAsia="Times New Roman" w:hAnsi="Times New Roman" w:cs="Times New Roman"/>
          <w:sz w:val="24"/>
          <w:szCs w:val="24"/>
        </w:rPr>
        <w:t>In contrast, NOCA is a statistically significant predictor of ROCA (β = 0.270, t = 3.55, p &lt; .001). The model explains a modest amount of variance in ROCA (R² = 0.073), accounting for 7.3% of the variance in ROCA scores. With an adjusted R² of 0.067, the model appears to be a good fit for the data, suggesting that the effect of NOCA on ROCA is moderate. However, other factors likely contribute significantly to the variation in ROCA as well.</w:t>
      </w:r>
    </w:p>
    <w:p w14:paraId="5992013E" w14:textId="74FADA31" w:rsidR="00B50DC0" w:rsidRPr="0096196B" w:rsidRDefault="00B50DC0" w:rsidP="00461530">
      <w:pPr>
        <w:spacing w:after="0" w:line="276" w:lineRule="auto"/>
        <w:jc w:val="both"/>
        <w:rPr>
          <w:rFonts w:ascii="Times New Roman" w:hAnsi="Times New Roman" w:cs="Times New Roman"/>
          <w:sz w:val="24"/>
          <w:szCs w:val="24"/>
        </w:rPr>
      </w:pPr>
      <w:r w:rsidRPr="002944E9">
        <w:rPr>
          <w:rFonts w:ascii="Times New Roman" w:hAnsi="Times New Roman" w:cs="Times New Roman"/>
          <w:sz w:val="24"/>
          <w:szCs w:val="24"/>
        </w:rPr>
        <w:t xml:space="preserve">These results align with previous studies indicating that high school GPA </w:t>
      </w:r>
      <w:r w:rsidR="00C34E8A">
        <w:rPr>
          <w:rFonts w:ascii="Times New Roman" w:hAnsi="Times New Roman" w:cs="Times New Roman"/>
          <w:sz w:val="24"/>
          <w:szCs w:val="24"/>
        </w:rPr>
        <w:t>does not significantly predict</w:t>
      </w:r>
      <w:r w:rsidRPr="002944E9">
        <w:rPr>
          <w:rFonts w:ascii="Times New Roman" w:hAnsi="Times New Roman" w:cs="Times New Roman"/>
          <w:sz w:val="24"/>
          <w:szCs w:val="24"/>
        </w:rPr>
        <w:t xml:space="preserve"> students’ college entrance test scores (Alavi, 2012; Benjamin &amp; Habila, 2020). </w:t>
      </w:r>
      <w:r w:rsidR="003C3431">
        <w:rPr>
          <w:rFonts w:ascii="Times New Roman" w:hAnsi="Times New Roman" w:cs="Times New Roman"/>
          <w:sz w:val="24"/>
          <w:szCs w:val="24"/>
        </w:rPr>
        <w:t>On the other hand, some</w:t>
      </w:r>
      <w:r w:rsidRPr="002944E9">
        <w:rPr>
          <w:rFonts w:ascii="Times New Roman" w:hAnsi="Times New Roman" w:cs="Times New Roman"/>
          <w:sz w:val="24"/>
          <w:szCs w:val="24"/>
        </w:rPr>
        <w:t xml:space="preserve"> </w:t>
      </w:r>
      <w:r w:rsidR="003C3431" w:rsidRPr="002944E9">
        <w:rPr>
          <w:rFonts w:ascii="Times New Roman" w:hAnsi="Times New Roman" w:cs="Times New Roman"/>
          <w:sz w:val="24"/>
          <w:szCs w:val="24"/>
        </w:rPr>
        <w:t xml:space="preserve">findings </w:t>
      </w:r>
      <w:r w:rsidR="00333487">
        <w:rPr>
          <w:rFonts w:ascii="Times New Roman" w:hAnsi="Times New Roman" w:cs="Times New Roman"/>
          <w:sz w:val="24"/>
          <w:szCs w:val="24"/>
        </w:rPr>
        <w:t xml:space="preserve">are </w:t>
      </w:r>
      <w:r w:rsidR="003C3431">
        <w:rPr>
          <w:rFonts w:ascii="Times New Roman" w:hAnsi="Times New Roman" w:cs="Times New Roman"/>
          <w:sz w:val="24"/>
          <w:szCs w:val="24"/>
        </w:rPr>
        <w:t xml:space="preserve">opposite </w:t>
      </w:r>
      <w:r w:rsidRPr="002944E9">
        <w:rPr>
          <w:rFonts w:ascii="Times New Roman" w:hAnsi="Times New Roman" w:cs="Times New Roman"/>
          <w:sz w:val="24"/>
          <w:szCs w:val="24"/>
        </w:rPr>
        <w:t xml:space="preserve">from prior studies by </w:t>
      </w:r>
      <w:proofErr w:type="spellStart"/>
      <w:r w:rsidRPr="002944E9">
        <w:rPr>
          <w:rFonts w:ascii="Times New Roman" w:hAnsi="Times New Roman" w:cs="Times New Roman"/>
          <w:sz w:val="24"/>
          <w:szCs w:val="24"/>
        </w:rPr>
        <w:t>Corengia</w:t>
      </w:r>
      <w:proofErr w:type="spellEnd"/>
      <w:r w:rsidRPr="002944E9">
        <w:rPr>
          <w:rFonts w:ascii="Times New Roman" w:hAnsi="Times New Roman" w:cs="Times New Roman"/>
          <w:sz w:val="24"/>
          <w:szCs w:val="24"/>
        </w:rPr>
        <w:t xml:space="preserve"> et al. (2013), Eunice (2018), </w:t>
      </w:r>
      <w:proofErr w:type="spellStart"/>
      <w:r w:rsidRPr="002944E9">
        <w:rPr>
          <w:rFonts w:ascii="Times New Roman" w:hAnsi="Times New Roman" w:cs="Times New Roman"/>
          <w:sz w:val="24"/>
          <w:szCs w:val="24"/>
        </w:rPr>
        <w:t>Mechingambi</w:t>
      </w:r>
      <w:proofErr w:type="spellEnd"/>
      <w:r w:rsidRPr="002944E9">
        <w:rPr>
          <w:rFonts w:ascii="Times New Roman" w:hAnsi="Times New Roman" w:cs="Times New Roman"/>
          <w:sz w:val="24"/>
          <w:szCs w:val="24"/>
        </w:rPr>
        <w:t xml:space="preserve"> (2017), and Melaku (2013). Notably, the preceding research indicated a stronger predictive capacity than </w:t>
      </w:r>
      <w:r w:rsidRPr="0096196B">
        <w:rPr>
          <w:rFonts w:ascii="Times New Roman" w:hAnsi="Times New Roman" w:cs="Times New Roman"/>
          <w:sz w:val="24"/>
          <w:szCs w:val="24"/>
        </w:rPr>
        <w:t xml:space="preserve">this study. </w:t>
      </w:r>
    </w:p>
    <w:p w14:paraId="072FEE5C" w14:textId="77777777" w:rsidR="00765BC4" w:rsidRDefault="00392CC4" w:rsidP="00765BC4">
      <w:pPr>
        <w:spacing w:before="120" w:after="120" w:line="360" w:lineRule="auto"/>
        <w:jc w:val="both"/>
        <w:rPr>
          <w:rFonts w:ascii="Times New Roman" w:eastAsia="Times New Roman" w:hAnsi="Times New Roman" w:cs="Times New Roman"/>
          <w:b/>
          <w:sz w:val="24"/>
          <w:szCs w:val="24"/>
        </w:rPr>
      </w:pPr>
      <w:bookmarkStart w:id="14" w:name="_Hlk157023689"/>
      <w:r w:rsidRPr="00DE2C45">
        <w:rPr>
          <w:rFonts w:ascii="Times New Roman" w:eastAsia="Times New Roman" w:hAnsi="Times New Roman" w:cs="Times New Roman"/>
          <w:b/>
          <w:sz w:val="24"/>
          <w:szCs w:val="24"/>
        </w:rPr>
        <w:t xml:space="preserve">Factors </w:t>
      </w:r>
      <w:r w:rsidR="0024170E" w:rsidRPr="00DE2C45">
        <w:rPr>
          <w:rFonts w:ascii="Times New Roman" w:eastAsia="Times New Roman" w:hAnsi="Times New Roman" w:cs="Times New Roman"/>
          <w:b/>
          <w:sz w:val="24"/>
          <w:szCs w:val="24"/>
        </w:rPr>
        <w:t>influenc</w:t>
      </w:r>
      <w:r w:rsidR="0096196B" w:rsidRPr="00DE2C45">
        <w:rPr>
          <w:rFonts w:ascii="Times New Roman" w:eastAsia="Times New Roman" w:hAnsi="Times New Roman" w:cs="Times New Roman"/>
          <w:b/>
          <w:sz w:val="24"/>
          <w:szCs w:val="24"/>
        </w:rPr>
        <w:t xml:space="preserve">ing the </w:t>
      </w:r>
      <w:r w:rsidR="00B50DC0" w:rsidRPr="00DE2C45">
        <w:rPr>
          <w:rFonts w:ascii="Times New Roman" w:eastAsia="Times New Roman" w:hAnsi="Times New Roman" w:cs="Times New Roman"/>
          <w:b/>
          <w:sz w:val="24"/>
          <w:szCs w:val="24"/>
        </w:rPr>
        <w:t>predictive power of CBA in private TVET colleges</w:t>
      </w:r>
      <w:bookmarkEnd w:id="14"/>
    </w:p>
    <w:p w14:paraId="7B9FBFED" w14:textId="54D801A8" w:rsidR="00D451BE" w:rsidRPr="007F2A24" w:rsidRDefault="00D451BE" w:rsidP="00461530">
      <w:pPr>
        <w:spacing w:after="0" w:line="276" w:lineRule="auto"/>
        <w:jc w:val="both"/>
        <w:rPr>
          <w:rFonts w:ascii="Times New Roman" w:eastAsia="Times New Roman" w:hAnsi="Times New Roman" w:cs="Times New Roman"/>
          <w:b/>
          <w:sz w:val="24"/>
          <w:szCs w:val="24"/>
        </w:rPr>
      </w:pPr>
      <w:r w:rsidRPr="007F2A24">
        <w:rPr>
          <w:rFonts w:ascii="Times New Roman" w:eastAsiaTheme="minorHAnsi" w:hAnsi="Times New Roman" w:cs="Times New Roman"/>
          <w:sz w:val="24"/>
          <w:szCs w:val="24"/>
        </w:rPr>
        <w:t xml:space="preserve">The interview questions aimed to explore factors that influence the predictive power of CBA in private TVET colleges. </w:t>
      </w:r>
      <w:r w:rsidRPr="007F2A24">
        <w:rPr>
          <w:rFonts w:ascii="Times New Roman" w:eastAsia="Times New Roman" w:hAnsi="Times New Roman" w:cs="Times New Roman"/>
          <w:sz w:val="24"/>
          <w:szCs w:val="24"/>
        </w:rPr>
        <w:t>The PV of assessments in privet TVET colleges CBA can be influenced by several factors, as identified by theme analysis in this study mentioned. These factors weaken the quality of assessment and the predictive power of IOCA on NOCA and ROCA, and NOCA on ROCA. The study identifies several elements that impact the PV of CBA in private TVET colleges. These elements, encompassing regulatory bodies, colleges, teachers, and students, compromise the quality of assessment and the predictive capacity of the assessment.</w:t>
      </w:r>
    </w:p>
    <w:p w14:paraId="3A92DD09" w14:textId="13892780" w:rsidR="00D451BE" w:rsidRPr="00765BC4" w:rsidRDefault="0096196B" w:rsidP="00461530">
      <w:pPr>
        <w:spacing w:before="120" w:after="120" w:line="240" w:lineRule="auto"/>
        <w:jc w:val="both"/>
        <w:rPr>
          <w:rFonts w:ascii="Times New Roman" w:eastAsia="Times New Roman" w:hAnsi="Times New Roman" w:cs="Times New Roman"/>
          <w:b/>
          <w:sz w:val="24"/>
          <w:szCs w:val="24"/>
        </w:rPr>
      </w:pPr>
      <w:r w:rsidRPr="00765BC4">
        <w:rPr>
          <w:rFonts w:ascii="Times New Roman" w:eastAsia="Times New Roman" w:hAnsi="Times New Roman" w:cs="Times New Roman"/>
          <w:b/>
          <w:sz w:val="24"/>
          <w:szCs w:val="24"/>
        </w:rPr>
        <w:t xml:space="preserve">Responses of </w:t>
      </w:r>
      <w:r w:rsidR="00D451BE" w:rsidRPr="00765BC4">
        <w:rPr>
          <w:rFonts w:ascii="Times New Roman" w:eastAsia="Times New Roman" w:hAnsi="Times New Roman" w:cs="Times New Roman"/>
          <w:b/>
          <w:sz w:val="24"/>
          <w:szCs w:val="24"/>
        </w:rPr>
        <w:t xml:space="preserve">a private college dean </w:t>
      </w:r>
    </w:p>
    <w:p w14:paraId="40781C2F" w14:textId="4A88EA7D" w:rsidR="00D4463A" w:rsidRPr="00765BC4" w:rsidRDefault="00D451BE" w:rsidP="00461530">
      <w:pPr>
        <w:spacing w:after="200" w:line="276" w:lineRule="auto"/>
        <w:jc w:val="both"/>
        <w:rPr>
          <w:rFonts w:ascii="Times New Roman" w:eastAsiaTheme="minorHAnsi" w:hAnsi="Times New Roman" w:cs="Times New Roman"/>
          <w:i/>
          <w:sz w:val="24"/>
          <w:szCs w:val="24"/>
        </w:rPr>
      </w:pPr>
      <w:r w:rsidRPr="00765BC4">
        <w:rPr>
          <w:rFonts w:ascii="Times New Roman" w:eastAsiaTheme="minorHAnsi" w:hAnsi="Times New Roman" w:cs="Times New Roman"/>
          <w:i/>
          <w:sz w:val="24"/>
          <w:szCs w:val="24"/>
        </w:rPr>
        <w:t>"The accreditation process of private TVET colleges violated TVET accreditation guidelines due to communication issues between accreditation experts and college owners. The colleges failed to provide essential resources, appropriate buildings, and sufficient staff. They prioritize funding acquisition over student ethics and competency, intending to use inappropriate assessment procedures for IOCA and NOCA. The regulatory authority did not sufficiently focus on 'the educational assessment of students. Teachers were reported to lack subject-matter knowledge and competence in the educational assessment of students. Inappropriate assessment practices by students have worsened assessment-related issues, resulting in an environment within colleges that is not conducive to competence-based assessment. This deficiency is emphasized as having a detrimental effect on the overall quality of assessments and predictive validity"</w:t>
      </w:r>
    </w:p>
    <w:p w14:paraId="1C970255" w14:textId="73A91A34" w:rsidR="004E0194" w:rsidRPr="002944E9" w:rsidRDefault="00B50DC0" w:rsidP="00461530">
      <w:pPr>
        <w:spacing w:line="276" w:lineRule="auto"/>
        <w:jc w:val="both"/>
        <w:rPr>
          <w:rFonts w:ascii="Times New Roman" w:eastAsia="Times New Roman" w:hAnsi="Times New Roman" w:cs="Times New Roman"/>
          <w:sz w:val="24"/>
          <w:szCs w:val="24"/>
        </w:rPr>
      </w:pPr>
      <w:r w:rsidRPr="006F1ED3">
        <w:rPr>
          <w:rFonts w:ascii="Times New Roman" w:hAnsi="Times New Roman" w:cs="Times New Roman"/>
          <w:sz w:val="24"/>
          <w:szCs w:val="24"/>
        </w:rPr>
        <w:t xml:space="preserve">Overall, the interview respondents indicated that the accreditation procedure for private TVET colleges emerges as a significant factor affecting the </w:t>
      </w:r>
      <w:r w:rsidR="00D5326E" w:rsidRPr="006F1ED3">
        <w:rPr>
          <w:rFonts w:ascii="Times New Roman" w:hAnsi="Times New Roman" w:cs="Times New Roman"/>
          <w:sz w:val="24"/>
          <w:szCs w:val="24"/>
        </w:rPr>
        <w:t xml:space="preserve">predictive validity </w:t>
      </w:r>
      <w:r w:rsidRPr="006F1ED3">
        <w:rPr>
          <w:rFonts w:ascii="Times New Roman" w:hAnsi="Times New Roman" w:cs="Times New Roman"/>
          <w:sz w:val="24"/>
          <w:szCs w:val="24"/>
        </w:rPr>
        <w:t>of CBA. The breach of guidelines due to unethical communication between government accreditation experts and college owners</w:t>
      </w:r>
      <w:r w:rsidRPr="002944E9">
        <w:rPr>
          <w:rFonts w:ascii="Times New Roman" w:hAnsi="Times New Roman" w:cs="Times New Roman"/>
          <w:sz w:val="24"/>
          <w:szCs w:val="24"/>
        </w:rPr>
        <w:t xml:space="preserve"> highlights a systemic issue that undermines the integrity of the assessment process. </w:t>
      </w:r>
      <w:r w:rsidRPr="002944E9">
        <w:rPr>
          <w:rFonts w:ascii="Times New Roman" w:eastAsia="Times New Roman" w:hAnsi="Times New Roman" w:cs="Times New Roman"/>
          <w:sz w:val="24"/>
          <w:szCs w:val="24"/>
        </w:rPr>
        <w:t xml:space="preserve">The regulatory authority’s inadequate emphasis on teaching and learning and learners’ educational assessment intensifies the problem. Institutions are deficient in crucial teaching material, appropriate infrastructure, and sufficient </w:t>
      </w:r>
      <w:r w:rsidR="005A2459" w:rsidRPr="002944E9">
        <w:rPr>
          <w:rFonts w:ascii="Times New Roman" w:eastAsia="Times New Roman" w:hAnsi="Times New Roman" w:cs="Times New Roman"/>
          <w:sz w:val="24"/>
          <w:szCs w:val="24"/>
        </w:rPr>
        <w:t>personnel</w:t>
      </w:r>
      <w:r w:rsidR="005A2459">
        <w:rPr>
          <w:rFonts w:ascii="Times New Roman" w:eastAsia="Times New Roman" w:hAnsi="Times New Roman" w:cs="Times New Roman"/>
          <w:sz w:val="24"/>
          <w:szCs w:val="24"/>
        </w:rPr>
        <w:t xml:space="preserve"> </w:t>
      </w:r>
      <w:r w:rsidR="005A2459" w:rsidRPr="002944E9">
        <w:rPr>
          <w:rFonts w:ascii="Times New Roman" w:eastAsia="Times New Roman" w:hAnsi="Times New Roman" w:cs="Times New Roman"/>
          <w:sz w:val="24"/>
          <w:szCs w:val="24"/>
        </w:rPr>
        <w:t>significant</w:t>
      </w:r>
      <w:r w:rsidRPr="002944E9">
        <w:rPr>
          <w:rFonts w:ascii="Times New Roman" w:eastAsia="Times New Roman" w:hAnsi="Times New Roman" w:cs="Times New Roman"/>
          <w:sz w:val="24"/>
          <w:szCs w:val="24"/>
        </w:rPr>
        <w:t xml:space="preserve"> for the assessment. The college</w:t>
      </w:r>
      <w:r w:rsidR="005A2459">
        <w:rPr>
          <w:rFonts w:ascii="Times New Roman" w:eastAsia="Times New Roman" w:hAnsi="Times New Roman" w:cs="Times New Roman"/>
          <w:sz w:val="24"/>
          <w:szCs w:val="24"/>
        </w:rPr>
        <w:t xml:space="preserve"> leaders </w:t>
      </w:r>
      <w:r w:rsidR="005A2459" w:rsidRPr="002944E9">
        <w:rPr>
          <w:rFonts w:ascii="Times New Roman" w:eastAsia="Times New Roman" w:hAnsi="Times New Roman" w:cs="Times New Roman"/>
          <w:sz w:val="24"/>
          <w:szCs w:val="24"/>
        </w:rPr>
        <w:t>provided</w:t>
      </w:r>
      <w:r w:rsidRPr="002944E9">
        <w:rPr>
          <w:rFonts w:ascii="Times New Roman" w:eastAsia="Times New Roman" w:hAnsi="Times New Roman" w:cs="Times New Roman"/>
          <w:sz w:val="24"/>
          <w:szCs w:val="24"/>
        </w:rPr>
        <w:t xml:space="preserve"> inadequate support and guidance on assessment practices, and teachers did not fully understand the importance of assessments or their link to student competence. </w:t>
      </w:r>
      <w:r w:rsidR="005A2459">
        <w:rPr>
          <w:rFonts w:ascii="Times New Roman" w:eastAsia="Times New Roman" w:hAnsi="Times New Roman" w:cs="Times New Roman"/>
          <w:sz w:val="24"/>
          <w:szCs w:val="24"/>
        </w:rPr>
        <w:t>C</w:t>
      </w:r>
      <w:r w:rsidRPr="002944E9">
        <w:rPr>
          <w:rFonts w:ascii="Times New Roman" w:eastAsia="Times New Roman" w:hAnsi="Times New Roman" w:cs="Times New Roman"/>
          <w:sz w:val="24"/>
          <w:szCs w:val="24"/>
        </w:rPr>
        <w:t>ollege did not prioritize improving teachers’ assessment competencies</w:t>
      </w:r>
      <w:r w:rsidR="005A2459">
        <w:rPr>
          <w:rFonts w:ascii="Times New Roman" w:eastAsia="Times New Roman" w:hAnsi="Times New Roman" w:cs="Times New Roman"/>
          <w:sz w:val="24"/>
          <w:szCs w:val="24"/>
        </w:rPr>
        <w:t>.</w:t>
      </w:r>
      <w:r w:rsidRPr="002944E9">
        <w:rPr>
          <w:rFonts w:ascii="Times New Roman" w:eastAsia="Times New Roman" w:hAnsi="Times New Roman" w:cs="Times New Roman"/>
          <w:sz w:val="24"/>
          <w:szCs w:val="24"/>
        </w:rPr>
        <w:t xml:space="preserve"> </w:t>
      </w:r>
      <w:r w:rsidR="005A2459">
        <w:rPr>
          <w:rFonts w:ascii="Times New Roman" w:eastAsia="Times New Roman" w:hAnsi="Times New Roman" w:cs="Times New Roman"/>
          <w:sz w:val="24"/>
          <w:szCs w:val="24"/>
        </w:rPr>
        <w:lastRenderedPageBreak/>
        <w:t>P</w:t>
      </w:r>
      <w:r w:rsidRPr="002944E9">
        <w:rPr>
          <w:rFonts w:ascii="Times New Roman" w:eastAsia="Times New Roman" w:hAnsi="Times New Roman" w:cs="Times New Roman"/>
          <w:sz w:val="24"/>
          <w:szCs w:val="24"/>
        </w:rPr>
        <w:t>rioritizing funding over learner ethics and competency. Follow unethical assessment procedures for IOCA and NOCA assessment.</w:t>
      </w:r>
    </w:p>
    <w:p w14:paraId="2575661B" w14:textId="77777777" w:rsidR="00B50DC0" w:rsidRPr="002944E9" w:rsidRDefault="00B50DC0" w:rsidP="00461530">
      <w:pPr>
        <w:spacing w:line="276" w:lineRule="auto"/>
        <w:jc w:val="both"/>
        <w:rPr>
          <w:rFonts w:ascii="Times New Roman" w:eastAsia="Times New Roman" w:hAnsi="Times New Roman" w:cs="Times New Roman"/>
          <w:sz w:val="24"/>
          <w:szCs w:val="24"/>
        </w:rPr>
      </w:pPr>
      <w:r w:rsidRPr="002944E9">
        <w:rPr>
          <w:rFonts w:ascii="Times New Roman" w:hAnsi="Times New Roman" w:cs="Times New Roman"/>
          <w:sz w:val="24"/>
          <w:szCs w:val="24"/>
        </w:rPr>
        <w:t xml:space="preserve">Most interview respondents confirm teachers' assessment practices were inconsistent and did not align with the principles of CBA.  Teachers relied on traditional assessment methods such as tests, quizzes, and group projects, without incorporating continuous assessment, practical assessments. There was a lack of knowledge and awareness of CBA principles among teachers. </w:t>
      </w:r>
      <w:r w:rsidRPr="002944E9">
        <w:rPr>
          <w:rFonts w:ascii="Times New Roman" w:eastAsia="Times New Roman" w:hAnsi="Times New Roman" w:cs="Times New Roman"/>
          <w:sz w:val="24"/>
          <w:szCs w:val="24"/>
        </w:rPr>
        <w:t xml:space="preserve">Teachers frequently use the same assessment tools across different classrooms and institutions, at varied times indicating a deficiency in understanding evaluation ethics. </w:t>
      </w:r>
    </w:p>
    <w:p w14:paraId="23DAEF27" w14:textId="77777777" w:rsidR="00B50DC0" w:rsidRPr="002944E9" w:rsidRDefault="00B50DC0" w:rsidP="00461530">
      <w:pPr>
        <w:spacing w:line="276" w:lineRule="auto"/>
        <w:jc w:val="both"/>
        <w:rPr>
          <w:rFonts w:ascii="Times New Roman" w:eastAsia="Times New Roman" w:hAnsi="Times New Roman" w:cs="Times New Roman"/>
          <w:sz w:val="24"/>
          <w:szCs w:val="24"/>
        </w:rPr>
      </w:pPr>
      <w:r w:rsidRPr="002944E9">
        <w:rPr>
          <w:rFonts w:ascii="Times New Roman" w:eastAsia="Times New Roman" w:hAnsi="Times New Roman" w:cs="Times New Roman"/>
          <w:sz w:val="24"/>
          <w:szCs w:val="24"/>
        </w:rPr>
        <w:t>This deficiency results in difficulties in addressing learner misconduct, and teachers find it challenging to differentiate between competent and non-competent students. Furthermore, there is a recognized lack of subject-matter knowledge and competence in educational assessment among teachers.</w:t>
      </w:r>
    </w:p>
    <w:p w14:paraId="211580BD" w14:textId="3E67B708" w:rsidR="00B50DC0" w:rsidRDefault="00B50DC0" w:rsidP="00461530">
      <w:pPr>
        <w:spacing w:line="276" w:lineRule="auto"/>
        <w:jc w:val="both"/>
        <w:rPr>
          <w:rFonts w:ascii="Times New Roman" w:eastAsia="Times New Roman" w:hAnsi="Times New Roman" w:cs="Times New Roman"/>
          <w:sz w:val="24"/>
          <w:szCs w:val="24"/>
        </w:rPr>
      </w:pPr>
      <w:r w:rsidRPr="002944E9">
        <w:rPr>
          <w:rFonts w:ascii="Times New Roman" w:eastAsia="Times New Roman" w:hAnsi="Times New Roman" w:cs="Times New Roman"/>
          <w:sz w:val="24"/>
          <w:szCs w:val="24"/>
        </w:rPr>
        <w:t xml:space="preserve">Students' inappropriate assessment practices, background competence, and language barriers have weakened assessment-related issues, creating an environment within colleges that is not conducive to CBA. This deficiency is detrimental to the overall quality of assessments and their PV.  </w:t>
      </w:r>
    </w:p>
    <w:p w14:paraId="04026AA0" w14:textId="087327BA" w:rsidR="00112ECD" w:rsidRPr="00765BC4" w:rsidRDefault="00032F17" w:rsidP="00112ECD">
      <w:pPr>
        <w:spacing w:before="100" w:beforeAutospacing="1" w:after="100" w:afterAutospacing="1" w:line="240" w:lineRule="auto"/>
        <w:jc w:val="both"/>
        <w:rPr>
          <w:rFonts w:ascii="Times New Roman" w:eastAsia="Times New Roman" w:hAnsi="Times New Roman" w:cs="Times New Roman"/>
          <w:b/>
          <w:sz w:val="24"/>
          <w:szCs w:val="24"/>
        </w:rPr>
      </w:pPr>
      <w:r w:rsidRPr="00765BC4">
        <w:rPr>
          <w:rFonts w:ascii="Times New Roman" w:eastAsia="Times New Roman" w:hAnsi="Times New Roman" w:cs="Times New Roman"/>
          <w:b/>
          <w:sz w:val="24"/>
          <w:szCs w:val="24"/>
        </w:rPr>
        <w:t>Teacher’s response</w:t>
      </w:r>
      <w:r w:rsidR="00112ECD" w:rsidRPr="00765BC4">
        <w:rPr>
          <w:rFonts w:ascii="Times New Roman" w:eastAsia="Times New Roman" w:hAnsi="Times New Roman" w:cs="Times New Roman"/>
          <w:b/>
          <w:sz w:val="24"/>
          <w:szCs w:val="24"/>
        </w:rPr>
        <w:t xml:space="preserve"> </w:t>
      </w:r>
      <w:bookmarkStart w:id="15" w:name="_Hlk157379328"/>
    </w:p>
    <w:bookmarkEnd w:id="15"/>
    <w:p w14:paraId="54B6CDCF" w14:textId="5E1722DB" w:rsidR="00112ECD" w:rsidRPr="00765BC4" w:rsidRDefault="00112ECD" w:rsidP="00461530">
      <w:pPr>
        <w:spacing w:before="100" w:beforeAutospacing="1" w:after="100" w:afterAutospacing="1" w:line="276" w:lineRule="auto"/>
        <w:jc w:val="both"/>
        <w:rPr>
          <w:rFonts w:ascii="Times New Roman" w:hAnsi="Times New Roman" w:cs="Times New Roman"/>
          <w:i/>
          <w:color w:val="000000"/>
          <w:sz w:val="24"/>
          <w:szCs w:val="24"/>
        </w:rPr>
      </w:pPr>
      <w:r w:rsidRPr="00765BC4">
        <w:rPr>
          <w:rFonts w:ascii="Times New Roman" w:hAnsi="Times New Roman" w:cs="Times New Roman"/>
          <w:i/>
          <w:color w:val="000000"/>
          <w:sz w:val="24"/>
          <w:szCs w:val="24"/>
        </w:rPr>
        <w:t xml:space="preserve">"The quality of assessments in private TVET colleges is compromised due to various factors. These include the government’s lack of prioritization and attention to CBA, students’ lack of readiness due to their educational background most of them difficulties in attending preparatory schools, and language barriers hindering understanding of courses and the assessment. Teachers lack the necessary </w:t>
      </w:r>
      <w:r w:rsidRPr="00765BC4">
        <w:rPr>
          <w:rFonts w:ascii="Times New Roman" w:hAnsi="Times New Roman" w:cs="Times New Roman"/>
          <w:i/>
          <w:color w:val="000000"/>
          <w:sz w:val="24"/>
          <w:szCs w:val="24"/>
        </w:rPr>
        <w:t>competence in educational assessment and subject matter, which hampers their ability to effectively teach and assess students. The colleges prioritize income and promotion over the quality of assessment and the teaching-learning process. Regulatory body experts tend to favor unethical colleges, and, regional occupational competence assessment experts require special treatment from assessment centers. These issues corrupt the assessment process and suppress the quality and predictive power of the assessments".</w:t>
      </w:r>
    </w:p>
    <w:p w14:paraId="5CC15940" w14:textId="1C73E958" w:rsidR="00457B12" w:rsidRPr="00765BC4" w:rsidRDefault="00457B12" w:rsidP="009136A5">
      <w:pPr>
        <w:pStyle w:val="Heading1"/>
        <w:numPr>
          <w:ilvl w:val="0"/>
          <w:numId w:val="23"/>
        </w:numPr>
        <w:spacing w:before="120" w:after="120" w:line="276" w:lineRule="auto"/>
        <w:jc w:val="both"/>
        <w:rPr>
          <w:rFonts w:ascii="Times New Roman" w:hAnsi="Times New Roman" w:cs="Times New Roman"/>
          <w:b/>
          <w:color w:val="auto"/>
          <w:sz w:val="24"/>
          <w:szCs w:val="24"/>
        </w:rPr>
      </w:pPr>
      <w:r w:rsidRPr="00765BC4">
        <w:rPr>
          <w:rFonts w:ascii="Times New Roman" w:hAnsi="Times New Roman" w:cs="Times New Roman"/>
          <w:b/>
          <w:color w:val="auto"/>
          <w:sz w:val="24"/>
          <w:szCs w:val="24"/>
        </w:rPr>
        <w:t>Discussion</w:t>
      </w:r>
    </w:p>
    <w:p w14:paraId="538FE263" w14:textId="5E5B7749" w:rsidR="00C656BE" w:rsidRDefault="00B50DC0" w:rsidP="00461530">
      <w:pPr>
        <w:spacing w:line="276" w:lineRule="auto"/>
        <w:jc w:val="both"/>
        <w:rPr>
          <w:rFonts w:ascii="Times New Roman" w:hAnsi="Times New Roman" w:cs="Times New Roman"/>
          <w:sz w:val="24"/>
          <w:szCs w:val="24"/>
        </w:rPr>
      </w:pPr>
      <w:r w:rsidRPr="002944E9">
        <w:rPr>
          <w:rFonts w:ascii="Times New Roman" w:hAnsi="Times New Roman" w:cs="Times New Roman"/>
          <w:sz w:val="24"/>
          <w:szCs w:val="24"/>
        </w:rPr>
        <w:t>These findings are similar to the findings of many studies which indicated that</w:t>
      </w:r>
      <w:r w:rsidRPr="002944E9">
        <w:rPr>
          <w:rFonts w:ascii="Times New Roman" w:hAnsi="Times New Roman" w:cs="Times New Roman"/>
          <w:color w:val="000000"/>
          <w:sz w:val="24"/>
          <w:szCs w:val="24"/>
        </w:rPr>
        <w:t xml:space="preserve"> malpractice assessments on educational quality, lead to graduates with inadequate skills and a lowering of educational standards </w:t>
      </w:r>
      <w:r w:rsidRPr="002944E9">
        <w:rPr>
          <w:rFonts w:ascii="Times New Roman" w:hAnsi="Times New Roman" w:cs="Times New Roman"/>
          <w:sz w:val="24"/>
          <w:szCs w:val="24"/>
        </w:rPr>
        <w:t>(Adeyemi &amp; Ige, 2002; Nelson et al., 2012)</w:t>
      </w:r>
      <w:r w:rsidRPr="002944E9">
        <w:rPr>
          <w:rFonts w:ascii="Times New Roman" w:hAnsi="Times New Roman" w:cs="Times New Roman"/>
          <w:color w:val="000000"/>
          <w:sz w:val="24"/>
          <w:szCs w:val="24"/>
        </w:rPr>
        <w:t>. It highlights the scarcity of qualified teachers and the malpractice of current assessment methods, which fail to measure practical skills and lack comprehensiveness in evaluating a range of learning outcomes</w:t>
      </w:r>
      <w:r w:rsidRPr="002944E9">
        <w:rPr>
          <w:rFonts w:ascii="Times New Roman" w:hAnsi="Times New Roman" w:cs="Times New Roman"/>
          <w:sz w:val="24"/>
          <w:szCs w:val="24"/>
        </w:rPr>
        <w:t xml:space="preserve"> (Lemma &amp; </w:t>
      </w:r>
      <w:proofErr w:type="spellStart"/>
      <w:r w:rsidRPr="002944E9">
        <w:rPr>
          <w:rFonts w:ascii="Times New Roman" w:hAnsi="Times New Roman" w:cs="Times New Roman"/>
          <w:sz w:val="24"/>
          <w:szCs w:val="24"/>
        </w:rPr>
        <w:t>Agalo</w:t>
      </w:r>
      <w:proofErr w:type="spellEnd"/>
      <w:r w:rsidRPr="002944E9">
        <w:rPr>
          <w:rFonts w:ascii="Times New Roman" w:hAnsi="Times New Roman" w:cs="Times New Roman"/>
          <w:sz w:val="24"/>
          <w:szCs w:val="24"/>
        </w:rPr>
        <w:t xml:space="preserve">, 2022; Kasahun &amp; Teshome, 2021; Nelson et al., 2012). </w:t>
      </w:r>
    </w:p>
    <w:p w14:paraId="482A8915" w14:textId="75C16394" w:rsidR="00B50DC0" w:rsidRPr="00E0291A" w:rsidRDefault="00B50DC0" w:rsidP="00461530">
      <w:pPr>
        <w:spacing w:line="276" w:lineRule="auto"/>
        <w:jc w:val="both"/>
        <w:rPr>
          <w:rFonts w:ascii="Times New Roman" w:hAnsi="Times New Roman" w:cs="Times New Roman"/>
          <w:color w:val="000000"/>
          <w:sz w:val="24"/>
          <w:szCs w:val="24"/>
        </w:rPr>
      </w:pPr>
      <w:r w:rsidRPr="002944E9">
        <w:rPr>
          <w:rFonts w:ascii="Times New Roman" w:hAnsi="Times New Roman" w:cs="Times New Roman"/>
          <w:color w:val="000000"/>
          <w:sz w:val="24"/>
          <w:szCs w:val="24"/>
        </w:rPr>
        <w:t>TVET, teachers demonstrate insufficient competence in classroom assessment, often employing techniques misaligned with CBA</w:t>
      </w:r>
      <w:r w:rsidRPr="002944E9">
        <w:rPr>
          <w:rFonts w:ascii="Times New Roman" w:hAnsi="Times New Roman" w:cs="Times New Roman"/>
          <w:sz w:val="24"/>
          <w:szCs w:val="24"/>
        </w:rPr>
        <w:t xml:space="preserve"> (Bukit et al., 2014; Paryono, 2017)</w:t>
      </w:r>
      <w:r w:rsidRPr="002944E9">
        <w:rPr>
          <w:rFonts w:ascii="Times New Roman" w:hAnsi="Times New Roman" w:cs="Times New Roman"/>
          <w:color w:val="000000"/>
          <w:sz w:val="24"/>
          <w:szCs w:val="24"/>
        </w:rPr>
        <w:t>. The study emphasizes a shortage of assessment ethics among teachers, resulting in a lack of control mechanisms to address students’ unethical behavior</w:t>
      </w:r>
      <w:r w:rsidRPr="002944E9">
        <w:rPr>
          <w:rFonts w:ascii="Times New Roman" w:hAnsi="Times New Roman" w:cs="Times New Roman"/>
          <w:sz w:val="24"/>
          <w:szCs w:val="24"/>
        </w:rPr>
        <w:t xml:space="preserve"> (Chen, 2001) dishonest behaviors in college can to some extent predict dishonest behaviors in the workplace </w:t>
      </w:r>
      <w:r w:rsidRPr="002944E9">
        <w:rPr>
          <w:rFonts w:ascii="Times New Roman" w:hAnsi="Times New Roman" w:cs="Times New Roman"/>
          <w:color w:val="222222"/>
          <w:sz w:val="24"/>
          <w:szCs w:val="24"/>
          <w:shd w:val="clear" w:color="auto" w:fill="FFFFFF"/>
        </w:rPr>
        <w:t xml:space="preserve">(Feyisa &amp; </w:t>
      </w:r>
      <w:proofErr w:type="spellStart"/>
      <w:r w:rsidRPr="002944E9">
        <w:rPr>
          <w:rFonts w:ascii="Times New Roman" w:hAnsi="Times New Roman" w:cs="Times New Roman"/>
          <w:color w:val="222222"/>
          <w:sz w:val="24"/>
          <w:szCs w:val="24"/>
          <w:shd w:val="clear" w:color="auto" w:fill="FFFFFF"/>
        </w:rPr>
        <w:t>Ebessa</w:t>
      </w:r>
      <w:proofErr w:type="spellEnd"/>
      <w:r w:rsidRPr="002944E9">
        <w:rPr>
          <w:rFonts w:ascii="Times New Roman" w:hAnsi="Times New Roman" w:cs="Times New Roman"/>
          <w:color w:val="222222"/>
          <w:sz w:val="24"/>
          <w:szCs w:val="24"/>
          <w:shd w:val="clear" w:color="auto" w:fill="FFFFFF"/>
        </w:rPr>
        <w:t xml:space="preserve"> 2021). </w:t>
      </w:r>
      <w:r w:rsidRPr="002944E9">
        <w:rPr>
          <w:rFonts w:ascii="Times New Roman" w:hAnsi="Times New Roman" w:cs="Times New Roman"/>
          <w:color w:val="000000"/>
          <w:sz w:val="24"/>
          <w:szCs w:val="24"/>
          <w:shd w:val="clear" w:color="auto" w:fill="FFFFFF"/>
        </w:rPr>
        <w:t>Malpractice assessment hurts society, leads to irreversible loss of credibility, has negative consequences on the individuals and institutions of learning, leads to moral decadence and brain drain, leads to</w:t>
      </w:r>
      <w:r w:rsidR="00D5326E">
        <w:rPr>
          <w:rFonts w:ascii="Times New Roman" w:hAnsi="Times New Roman" w:cs="Times New Roman"/>
          <w:color w:val="000000"/>
          <w:sz w:val="24"/>
          <w:szCs w:val="24"/>
          <w:shd w:val="clear" w:color="auto" w:fill="FFFFFF"/>
        </w:rPr>
        <w:t xml:space="preserve"> </w:t>
      </w:r>
      <w:r w:rsidR="009E031D">
        <w:rPr>
          <w:rFonts w:ascii="Times New Roman" w:hAnsi="Times New Roman" w:cs="Times New Roman"/>
          <w:color w:val="000000"/>
          <w:sz w:val="24"/>
          <w:szCs w:val="24"/>
          <w:shd w:val="clear" w:color="auto" w:fill="FFFFFF"/>
        </w:rPr>
        <w:t xml:space="preserve"> </w:t>
      </w:r>
      <w:r w:rsidRPr="002944E9">
        <w:rPr>
          <w:rFonts w:ascii="Times New Roman" w:hAnsi="Times New Roman" w:cs="Times New Roman"/>
          <w:color w:val="000000"/>
          <w:sz w:val="24"/>
          <w:szCs w:val="24"/>
          <w:shd w:val="clear" w:color="auto" w:fill="FFFFFF"/>
        </w:rPr>
        <w:t xml:space="preserve"> </w:t>
      </w:r>
      <w:r w:rsidR="00D5326E" w:rsidRPr="002944E9">
        <w:rPr>
          <w:rFonts w:ascii="Times New Roman" w:hAnsi="Times New Roman" w:cs="Times New Roman"/>
          <w:color w:val="000000"/>
          <w:sz w:val="24"/>
          <w:szCs w:val="24"/>
          <w:shd w:val="clear" w:color="auto" w:fill="FFFFFF"/>
        </w:rPr>
        <w:t>corruption</w:t>
      </w:r>
      <w:r w:rsidR="00D5326E">
        <w:rPr>
          <w:rFonts w:ascii="Times New Roman" w:hAnsi="Times New Roman" w:cs="Times New Roman"/>
          <w:color w:val="000000"/>
          <w:sz w:val="24"/>
          <w:szCs w:val="24"/>
          <w:shd w:val="clear" w:color="auto" w:fill="FFFFFF"/>
        </w:rPr>
        <w:t>;</w:t>
      </w:r>
      <w:r w:rsidRPr="002944E9">
        <w:rPr>
          <w:rFonts w:ascii="Times New Roman" w:hAnsi="Times New Roman" w:cs="Times New Roman"/>
          <w:color w:val="000000"/>
          <w:sz w:val="24"/>
          <w:szCs w:val="24"/>
          <w:shd w:val="clear" w:color="auto" w:fill="FFFFFF"/>
        </w:rPr>
        <w:t xml:space="preserve"> it </w:t>
      </w:r>
      <w:r w:rsidRPr="002944E9">
        <w:rPr>
          <w:rFonts w:ascii="Times New Roman" w:hAnsi="Times New Roman" w:cs="Times New Roman"/>
          <w:color w:val="000000"/>
          <w:sz w:val="24"/>
          <w:szCs w:val="24"/>
          <w:shd w:val="clear" w:color="auto" w:fill="FFFFFF"/>
        </w:rPr>
        <w:lastRenderedPageBreak/>
        <w:t xml:space="preserve">discourages hard work among students </w:t>
      </w:r>
      <w:r w:rsidRPr="002944E9">
        <w:rPr>
          <w:rFonts w:ascii="Times New Roman" w:hAnsi="Times New Roman" w:cs="Times New Roman"/>
          <w:color w:val="222222"/>
          <w:sz w:val="24"/>
          <w:szCs w:val="24"/>
          <w:shd w:val="clear" w:color="auto" w:fill="FFFFFF"/>
        </w:rPr>
        <w:t>(</w:t>
      </w:r>
      <w:proofErr w:type="spellStart"/>
      <w:r w:rsidRPr="002944E9">
        <w:rPr>
          <w:rFonts w:ascii="Times New Roman" w:hAnsi="Times New Roman" w:cs="Times New Roman"/>
          <w:color w:val="222222"/>
          <w:sz w:val="24"/>
          <w:szCs w:val="24"/>
          <w:shd w:val="clear" w:color="auto" w:fill="FFFFFF"/>
        </w:rPr>
        <w:t>Udim</w:t>
      </w:r>
      <w:proofErr w:type="spellEnd"/>
      <w:r w:rsidRPr="002944E9">
        <w:rPr>
          <w:rFonts w:ascii="Times New Roman" w:hAnsi="Times New Roman" w:cs="Times New Roman"/>
          <w:color w:val="222222"/>
          <w:sz w:val="24"/>
          <w:szCs w:val="24"/>
          <w:shd w:val="clear" w:color="auto" w:fill="FFFFFF"/>
        </w:rPr>
        <w:t xml:space="preserve"> et al., 2018).</w:t>
      </w:r>
      <w:r w:rsidRPr="002944E9">
        <w:rPr>
          <w:rFonts w:ascii="Times New Roman" w:hAnsi="Times New Roman" w:cs="Times New Roman"/>
          <w:color w:val="000000"/>
          <w:sz w:val="24"/>
          <w:szCs w:val="24"/>
          <w:shd w:val="clear" w:color="auto" w:fill="FFFFFF"/>
        </w:rPr>
        <w:t xml:space="preserve"> </w:t>
      </w:r>
      <w:r w:rsidRPr="002944E9">
        <w:rPr>
          <w:rFonts w:ascii="Times New Roman" w:hAnsi="Times New Roman" w:cs="Times New Roman"/>
          <w:color w:val="000000"/>
          <w:sz w:val="24"/>
          <w:szCs w:val="24"/>
        </w:rPr>
        <w:t xml:space="preserve"> These malpractice assessments negatively impact teaching, learning, the overall quality of education, and the predictive power of assessment, leading to </w:t>
      </w:r>
      <w:r>
        <w:rPr>
          <w:rFonts w:ascii="Times New Roman" w:hAnsi="Times New Roman" w:cs="Times New Roman"/>
          <w:color w:val="000000"/>
          <w:sz w:val="24"/>
          <w:szCs w:val="24"/>
        </w:rPr>
        <w:t>employers'</w:t>
      </w:r>
      <w:r w:rsidRPr="002944E9">
        <w:rPr>
          <w:rFonts w:ascii="Times New Roman" w:hAnsi="Times New Roman" w:cs="Times New Roman"/>
          <w:color w:val="000000"/>
          <w:sz w:val="24"/>
          <w:szCs w:val="24"/>
        </w:rPr>
        <w:t xml:space="preserve"> lack of trust in graduates.</w:t>
      </w:r>
      <w:r w:rsidRPr="002944E9">
        <w:rPr>
          <w:rFonts w:ascii="Times New Roman" w:hAnsi="Times New Roman" w:cs="Times New Roman"/>
          <w:sz w:val="24"/>
          <w:szCs w:val="24"/>
        </w:rPr>
        <w:t xml:space="preserve"> </w:t>
      </w:r>
    </w:p>
    <w:p w14:paraId="0358AE05" w14:textId="544C3C5A" w:rsidR="00330327" w:rsidRPr="00A36470" w:rsidRDefault="00330327" w:rsidP="009136A5">
      <w:pPr>
        <w:pStyle w:val="Heading1"/>
        <w:numPr>
          <w:ilvl w:val="0"/>
          <w:numId w:val="23"/>
        </w:numPr>
        <w:spacing w:before="120" w:after="120" w:line="276" w:lineRule="auto"/>
        <w:jc w:val="both"/>
        <w:rPr>
          <w:rFonts w:ascii="Times New Roman" w:hAnsi="Times New Roman" w:cs="Times New Roman"/>
          <w:b/>
          <w:color w:val="auto"/>
          <w:sz w:val="24"/>
          <w:szCs w:val="24"/>
        </w:rPr>
      </w:pPr>
      <w:r w:rsidRPr="00A36470">
        <w:rPr>
          <w:rFonts w:ascii="Times New Roman" w:hAnsi="Times New Roman" w:cs="Times New Roman"/>
          <w:b/>
          <w:color w:val="auto"/>
          <w:sz w:val="24"/>
          <w:szCs w:val="24"/>
        </w:rPr>
        <w:t>Conclusion</w:t>
      </w:r>
      <w:r w:rsidR="00A56882" w:rsidRPr="00A36470">
        <w:rPr>
          <w:rFonts w:ascii="Times New Roman" w:hAnsi="Times New Roman" w:cs="Times New Roman"/>
          <w:b/>
          <w:color w:val="auto"/>
          <w:sz w:val="24"/>
          <w:szCs w:val="24"/>
        </w:rPr>
        <w:t xml:space="preserve"> and recommendations</w:t>
      </w:r>
    </w:p>
    <w:p w14:paraId="246B484F" w14:textId="3F418395" w:rsidR="008378AF" w:rsidRPr="006F1ED3" w:rsidRDefault="00330327" w:rsidP="00461530">
      <w:pPr>
        <w:spacing w:line="276" w:lineRule="auto"/>
        <w:jc w:val="both"/>
        <w:rPr>
          <w:rFonts w:ascii="Times New Roman" w:hAnsi="Times New Roman" w:cs="Times New Roman"/>
          <w:sz w:val="24"/>
          <w:szCs w:val="24"/>
        </w:rPr>
      </w:pPr>
      <w:r w:rsidRPr="006F1ED3">
        <w:rPr>
          <w:rFonts w:ascii="Times New Roman" w:hAnsi="Times New Roman" w:cs="Times New Roman"/>
          <w:sz w:val="24"/>
          <w:szCs w:val="24"/>
        </w:rPr>
        <w:t xml:space="preserve">The study revealed that students demonstrated higher levels of competence </w:t>
      </w:r>
      <w:r w:rsidR="0062374F" w:rsidRPr="006F1ED3">
        <w:rPr>
          <w:rFonts w:ascii="Times New Roman" w:hAnsi="Times New Roman" w:cs="Times New Roman"/>
          <w:sz w:val="24"/>
          <w:szCs w:val="24"/>
        </w:rPr>
        <w:t>at</w:t>
      </w:r>
      <w:r w:rsidRPr="006F1ED3">
        <w:rPr>
          <w:rFonts w:ascii="Times New Roman" w:hAnsi="Times New Roman" w:cs="Times New Roman"/>
          <w:sz w:val="24"/>
          <w:szCs w:val="24"/>
        </w:rPr>
        <w:t xml:space="preserve"> IOCA</w:t>
      </w:r>
      <w:r w:rsidR="0062374F" w:rsidRPr="006F1ED3">
        <w:rPr>
          <w:rFonts w:ascii="Times New Roman" w:hAnsi="Times New Roman" w:cs="Times New Roman"/>
          <w:sz w:val="24"/>
          <w:szCs w:val="24"/>
        </w:rPr>
        <w:t xml:space="preserve"> level</w:t>
      </w:r>
      <w:r w:rsidRPr="006F1ED3">
        <w:rPr>
          <w:rFonts w:ascii="Times New Roman" w:hAnsi="Times New Roman" w:cs="Times New Roman"/>
          <w:sz w:val="24"/>
          <w:szCs w:val="24"/>
        </w:rPr>
        <w:t>, surpassing the predetermined cutoff points for competence. However, this competence in IOCA was not replicated in NOCA and ROCA, where students exhibited lower competence levels, falling below the predetermined cutoff points for compete</w:t>
      </w:r>
      <w:r w:rsidR="009B709E" w:rsidRPr="006F1ED3">
        <w:rPr>
          <w:rFonts w:ascii="Times New Roman" w:hAnsi="Times New Roman" w:cs="Times New Roman"/>
          <w:sz w:val="24"/>
          <w:szCs w:val="24"/>
        </w:rPr>
        <w:t xml:space="preserve">nce. </w:t>
      </w:r>
      <w:r w:rsidR="00F03801" w:rsidRPr="006F1ED3">
        <w:rPr>
          <w:rFonts w:ascii="Times New Roman" w:hAnsi="Times New Roman" w:cs="Times New Roman"/>
          <w:sz w:val="24"/>
          <w:szCs w:val="24"/>
        </w:rPr>
        <w:t xml:space="preserve">The </w:t>
      </w:r>
      <w:r w:rsidRPr="006F1ED3">
        <w:rPr>
          <w:rFonts w:ascii="Times New Roman" w:hAnsi="Times New Roman" w:cs="Times New Roman"/>
          <w:sz w:val="24"/>
          <w:szCs w:val="24"/>
        </w:rPr>
        <w:t>assessment</w:t>
      </w:r>
      <w:r w:rsidR="00F03801" w:rsidRPr="006F1ED3">
        <w:rPr>
          <w:rFonts w:ascii="Times New Roman" w:hAnsi="Times New Roman" w:cs="Times New Roman"/>
          <w:sz w:val="24"/>
          <w:szCs w:val="24"/>
        </w:rPr>
        <w:t xml:space="preserve"> processes</w:t>
      </w:r>
      <w:r w:rsidRPr="006F1ED3">
        <w:rPr>
          <w:rFonts w:ascii="Times New Roman" w:hAnsi="Times New Roman" w:cs="Times New Roman"/>
          <w:sz w:val="24"/>
          <w:szCs w:val="24"/>
        </w:rPr>
        <w:t>, including issues such as unawareness and unethical behavior among students, teachers, assessors, college administration, students, and regulatory bodies in the assessment process</w:t>
      </w:r>
      <w:r w:rsidR="00F03801" w:rsidRPr="006F1ED3">
        <w:rPr>
          <w:rFonts w:ascii="Times New Roman" w:hAnsi="Times New Roman" w:cs="Times New Roman"/>
          <w:sz w:val="24"/>
          <w:szCs w:val="24"/>
        </w:rPr>
        <w:t xml:space="preserve"> are not playing their roles for the realization of TVET objectives</w:t>
      </w:r>
      <w:r w:rsidRPr="006F1ED3">
        <w:rPr>
          <w:rFonts w:ascii="Times New Roman" w:hAnsi="Times New Roman" w:cs="Times New Roman"/>
          <w:sz w:val="24"/>
          <w:szCs w:val="24"/>
        </w:rPr>
        <w:t xml:space="preserve">. Malpractices in assessment procedures distorted and inflated student scores in IOCA, compromising the integrity of the assessment. </w:t>
      </w:r>
    </w:p>
    <w:p w14:paraId="36CBDA6F" w14:textId="5340E73B" w:rsidR="00457B12" w:rsidRPr="006F1ED3" w:rsidRDefault="00457B12" w:rsidP="00461530">
      <w:pPr>
        <w:spacing w:line="276" w:lineRule="auto"/>
        <w:jc w:val="both"/>
        <w:rPr>
          <w:rFonts w:ascii="Times New Roman" w:hAnsi="Times New Roman" w:cs="Times New Roman"/>
          <w:sz w:val="24"/>
          <w:szCs w:val="24"/>
        </w:rPr>
      </w:pPr>
      <w:r w:rsidRPr="006F1ED3">
        <w:rPr>
          <w:rFonts w:ascii="Times New Roman" w:hAnsi="Times New Roman" w:cs="Times New Roman"/>
          <w:sz w:val="24"/>
          <w:szCs w:val="24"/>
        </w:rPr>
        <w:t xml:space="preserve">Based on the findings the following recommendations are forwarded </w:t>
      </w:r>
      <w:r w:rsidR="00637576" w:rsidRPr="006F1ED3">
        <w:rPr>
          <w:rFonts w:ascii="Times New Roman" w:hAnsi="Times New Roman" w:cs="Times New Roman"/>
          <w:sz w:val="24"/>
          <w:szCs w:val="24"/>
        </w:rPr>
        <w:t xml:space="preserve">The </w:t>
      </w:r>
      <w:r w:rsidR="00C75F54" w:rsidRPr="006F1ED3">
        <w:rPr>
          <w:rFonts w:ascii="Times New Roman" w:hAnsi="Times New Roman" w:cs="Times New Roman"/>
          <w:sz w:val="24"/>
          <w:szCs w:val="24"/>
        </w:rPr>
        <w:t xml:space="preserve">findings </w:t>
      </w:r>
      <w:r w:rsidR="00637576" w:rsidRPr="006F1ED3">
        <w:rPr>
          <w:rFonts w:ascii="Times New Roman" w:hAnsi="Times New Roman" w:cs="Times New Roman"/>
          <w:sz w:val="24"/>
          <w:szCs w:val="24"/>
        </w:rPr>
        <w:t>highlights the challenges and consequences of CBA in TVET education, underlining the need for improved ethical standards among teachers, students, accreditation experts, assessment center coo</w:t>
      </w:r>
      <w:r w:rsidRPr="006F1ED3">
        <w:rPr>
          <w:rFonts w:ascii="Times New Roman" w:hAnsi="Times New Roman" w:cs="Times New Roman"/>
          <w:sz w:val="24"/>
          <w:szCs w:val="24"/>
        </w:rPr>
        <w:t>rdinators, and college owners. To achieve this, ALTB should provide training in educational assessment for students and issue license certificates to teachers and assessors before assigning them to institutions and assessment centers. C</w:t>
      </w:r>
      <w:r w:rsidR="009663FD" w:rsidRPr="006F1ED3">
        <w:rPr>
          <w:rFonts w:ascii="Times New Roman" w:hAnsi="Times New Roman" w:cs="Times New Roman"/>
          <w:sz w:val="24"/>
          <w:szCs w:val="24"/>
        </w:rPr>
        <w:t>olleges,</w:t>
      </w:r>
      <w:r w:rsidRPr="006F1ED3">
        <w:rPr>
          <w:rFonts w:ascii="Times New Roman" w:hAnsi="Times New Roman" w:cs="Times New Roman"/>
          <w:sz w:val="24"/>
          <w:szCs w:val="24"/>
        </w:rPr>
        <w:t xml:space="preserve"> ALTB, employers, enterprises, and industry (IOCA, NOCA, and ROCA) should develop standardized assessment tools at each level of occupational competency assessment. </w:t>
      </w:r>
    </w:p>
    <w:p w14:paraId="0D054782" w14:textId="25914210" w:rsidR="00637576" w:rsidRDefault="00457B12" w:rsidP="00461530">
      <w:pPr>
        <w:spacing w:line="276" w:lineRule="auto"/>
        <w:jc w:val="both"/>
        <w:rPr>
          <w:rFonts w:ascii="Times New Roman" w:hAnsi="Times New Roman" w:cs="Times New Roman"/>
          <w:sz w:val="24"/>
          <w:szCs w:val="24"/>
        </w:rPr>
      </w:pPr>
      <w:r w:rsidRPr="006F1ED3">
        <w:rPr>
          <w:rFonts w:ascii="Times New Roman" w:hAnsi="Times New Roman" w:cs="Times New Roman"/>
          <w:sz w:val="24"/>
          <w:szCs w:val="24"/>
        </w:rPr>
        <w:t>There</w:t>
      </w:r>
      <w:r w:rsidR="00637576" w:rsidRPr="006F1ED3">
        <w:rPr>
          <w:rFonts w:ascii="Times New Roman" w:hAnsi="Times New Roman" w:cs="Times New Roman"/>
          <w:sz w:val="24"/>
          <w:szCs w:val="24"/>
        </w:rPr>
        <w:t xml:space="preserve"> is a persistent need for enhancements in educational materials, facilities, and assessment practices. Raising awareness of CBA principles is crucial for improving </w:t>
      </w:r>
      <w:r w:rsidR="008D7D04" w:rsidRPr="006F1ED3">
        <w:rPr>
          <w:rFonts w:ascii="Times New Roman" w:hAnsi="Times New Roman" w:cs="Times New Roman"/>
          <w:sz w:val="24"/>
          <w:szCs w:val="24"/>
        </w:rPr>
        <w:t>assessments' quality and predictive accuracy</w:t>
      </w:r>
      <w:r w:rsidR="00637576" w:rsidRPr="006F1ED3">
        <w:rPr>
          <w:rFonts w:ascii="Times New Roman" w:hAnsi="Times New Roman" w:cs="Times New Roman"/>
          <w:sz w:val="24"/>
          <w:szCs w:val="24"/>
        </w:rPr>
        <w:t>, with the ultimate goal of achieving conse</w:t>
      </w:r>
      <w:r w:rsidRPr="006F1ED3">
        <w:rPr>
          <w:rFonts w:ascii="Times New Roman" w:hAnsi="Times New Roman" w:cs="Times New Roman"/>
          <w:sz w:val="24"/>
          <w:szCs w:val="24"/>
        </w:rPr>
        <w:t>nsus on existing CBA practices.</w:t>
      </w:r>
      <w:r w:rsidR="00637576" w:rsidRPr="006F1ED3">
        <w:rPr>
          <w:rFonts w:ascii="Times New Roman" w:hAnsi="Times New Roman" w:cs="Times New Roman"/>
          <w:sz w:val="24"/>
          <w:szCs w:val="24"/>
        </w:rPr>
        <w:t xml:space="preserve"> It is recommended that teachers, assessment tool developers, and assessors should be distinct individuals in separate roles.  Mandatory diagnostic and placement assessments for students before college admission should be implemented.</w:t>
      </w:r>
      <w:r w:rsidR="00637576" w:rsidRPr="002944E9">
        <w:rPr>
          <w:rFonts w:ascii="Times New Roman" w:hAnsi="Times New Roman" w:cs="Times New Roman"/>
          <w:sz w:val="24"/>
          <w:szCs w:val="24"/>
        </w:rPr>
        <w:t xml:space="preserve"> </w:t>
      </w:r>
    </w:p>
    <w:p w14:paraId="168FFF7E" w14:textId="4417408E" w:rsidR="00DD0615" w:rsidRPr="00A36470" w:rsidRDefault="00DD0615" w:rsidP="009136A5">
      <w:pPr>
        <w:pStyle w:val="ListParagraph"/>
        <w:numPr>
          <w:ilvl w:val="0"/>
          <w:numId w:val="23"/>
        </w:numPr>
        <w:spacing w:before="120" w:after="120" w:line="360" w:lineRule="auto"/>
        <w:jc w:val="both"/>
        <w:rPr>
          <w:rFonts w:ascii="Times New Roman" w:hAnsi="Times New Roman" w:cs="Times New Roman"/>
          <w:b/>
          <w:sz w:val="24"/>
          <w:szCs w:val="24"/>
        </w:rPr>
      </w:pPr>
      <w:r w:rsidRPr="00A36470">
        <w:rPr>
          <w:rFonts w:ascii="Times New Roman" w:hAnsi="Times New Roman" w:cs="Times New Roman"/>
          <w:b/>
          <w:sz w:val="24"/>
          <w:szCs w:val="24"/>
        </w:rPr>
        <w:t>Limitation</w:t>
      </w:r>
    </w:p>
    <w:p w14:paraId="43379FAB" w14:textId="2009E6DE" w:rsidR="00DD0615" w:rsidRPr="00DD0615" w:rsidRDefault="00DD0615" w:rsidP="00461530">
      <w:pPr>
        <w:spacing w:line="276" w:lineRule="auto"/>
        <w:jc w:val="both"/>
        <w:rPr>
          <w:rFonts w:ascii="Times New Roman" w:hAnsi="Times New Roman" w:cs="Times New Roman"/>
          <w:sz w:val="24"/>
          <w:szCs w:val="24"/>
        </w:rPr>
      </w:pPr>
      <w:r w:rsidRPr="00DD0615">
        <w:rPr>
          <w:rFonts w:ascii="Times New Roman" w:hAnsi="Times New Roman" w:cs="Times New Roman"/>
          <w:sz w:val="24"/>
          <w:szCs w:val="24"/>
        </w:rPr>
        <w:t xml:space="preserve">One of the limitations of this study is </w:t>
      </w:r>
      <w:r>
        <w:rPr>
          <w:rFonts w:ascii="Times New Roman" w:hAnsi="Times New Roman" w:cs="Times New Roman"/>
          <w:sz w:val="24"/>
          <w:szCs w:val="24"/>
        </w:rPr>
        <w:t>t</w:t>
      </w:r>
      <w:r w:rsidRPr="00DD0615">
        <w:rPr>
          <w:rFonts w:ascii="Times New Roman" w:hAnsi="Times New Roman" w:cs="Times New Roman"/>
          <w:sz w:val="24"/>
          <w:szCs w:val="24"/>
        </w:rPr>
        <w:t>he</w:t>
      </w:r>
      <w:r>
        <w:rPr>
          <w:rFonts w:ascii="Times New Roman" w:hAnsi="Times New Roman" w:cs="Times New Roman"/>
          <w:sz w:val="24"/>
          <w:szCs w:val="24"/>
        </w:rPr>
        <w:t xml:space="preserve"> </w:t>
      </w:r>
      <w:r w:rsidRPr="00DD0615">
        <w:rPr>
          <w:rFonts w:ascii="Times New Roman" w:hAnsi="Times New Roman" w:cs="Times New Roman"/>
          <w:sz w:val="24"/>
          <w:szCs w:val="24"/>
        </w:rPr>
        <w:t xml:space="preserve">inclusion of </w:t>
      </w:r>
      <w:r>
        <w:rPr>
          <w:rFonts w:ascii="Times New Roman" w:hAnsi="Times New Roman" w:cs="Times New Roman"/>
          <w:sz w:val="24"/>
          <w:szCs w:val="24"/>
        </w:rPr>
        <w:t xml:space="preserve">participants of from </w:t>
      </w:r>
      <w:r w:rsidRPr="00DD0615">
        <w:rPr>
          <w:rFonts w:ascii="Times New Roman" w:hAnsi="Times New Roman" w:cs="Times New Roman"/>
          <w:sz w:val="24"/>
          <w:szCs w:val="24"/>
        </w:rPr>
        <w:t xml:space="preserve">a single </w:t>
      </w:r>
      <w:r>
        <w:rPr>
          <w:rFonts w:ascii="Times New Roman" w:hAnsi="Times New Roman" w:cs="Times New Roman"/>
          <w:sz w:val="24"/>
          <w:szCs w:val="24"/>
        </w:rPr>
        <w:t>Zone of the region</w:t>
      </w:r>
      <w:r w:rsidRPr="00DD0615">
        <w:rPr>
          <w:rFonts w:ascii="Times New Roman" w:hAnsi="Times New Roman" w:cs="Times New Roman"/>
          <w:sz w:val="24"/>
          <w:szCs w:val="24"/>
        </w:rPr>
        <w:t>.</w:t>
      </w:r>
      <w:r>
        <w:rPr>
          <w:rFonts w:ascii="Times New Roman" w:hAnsi="Times New Roman" w:cs="Times New Roman"/>
          <w:sz w:val="24"/>
          <w:szCs w:val="24"/>
        </w:rPr>
        <w:t xml:space="preserve"> </w:t>
      </w:r>
      <w:r w:rsidR="0057125A" w:rsidRPr="00DD0615">
        <w:rPr>
          <w:rFonts w:ascii="Times New Roman" w:hAnsi="Times New Roman" w:cs="Times New Roman"/>
          <w:sz w:val="24"/>
          <w:szCs w:val="24"/>
        </w:rPr>
        <w:t>Therefore</w:t>
      </w:r>
      <w:r w:rsidRPr="00DD0615">
        <w:rPr>
          <w:rFonts w:ascii="Times New Roman" w:hAnsi="Times New Roman" w:cs="Times New Roman"/>
          <w:sz w:val="24"/>
          <w:szCs w:val="24"/>
        </w:rPr>
        <w:t>, the contextual</w:t>
      </w:r>
      <w:r>
        <w:rPr>
          <w:rFonts w:ascii="Times New Roman" w:hAnsi="Times New Roman" w:cs="Times New Roman"/>
          <w:sz w:val="24"/>
          <w:szCs w:val="24"/>
        </w:rPr>
        <w:t xml:space="preserve"> </w:t>
      </w:r>
      <w:r w:rsidRPr="00DD0615">
        <w:rPr>
          <w:rFonts w:ascii="Times New Roman" w:hAnsi="Times New Roman" w:cs="Times New Roman"/>
          <w:sz w:val="24"/>
          <w:szCs w:val="24"/>
        </w:rPr>
        <w:t>characteristics of the</w:t>
      </w:r>
      <w:r w:rsidR="0057125A">
        <w:rPr>
          <w:rFonts w:ascii="Times New Roman" w:hAnsi="Times New Roman" w:cs="Times New Roman"/>
          <w:sz w:val="24"/>
          <w:szCs w:val="24"/>
        </w:rPr>
        <w:t xml:space="preserve"> participants</w:t>
      </w:r>
      <w:r w:rsidRPr="00DD0615">
        <w:rPr>
          <w:rFonts w:ascii="Times New Roman" w:hAnsi="Times New Roman" w:cs="Times New Roman"/>
          <w:sz w:val="24"/>
          <w:szCs w:val="24"/>
        </w:rPr>
        <w:t xml:space="preserve"> may not</w:t>
      </w:r>
      <w:r>
        <w:rPr>
          <w:rFonts w:ascii="Times New Roman" w:hAnsi="Times New Roman" w:cs="Times New Roman"/>
          <w:sz w:val="24"/>
          <w:szCs w:val="24"/>
        </w:rPr>
        <w:t xml:space="preserve"> </w:t>
      </w:r>
      <w:r w:rsidR="00656492">
        <w:rPr>
          <w:rFonts w:ascii="Times New Roman" w:hAnsi="Times New Roman" w:cs="Times New Roman"/>
          <w:sz w:val="24"/>
          <w:szCs w:val="24"/>
        </w:rPr>
        <w:t>hold</w:t>
      </w:r>
      <w:r w:rsidRPr="00DD0615">
        <w:rPr>
          <w:rFonts w:ascii="Times New Roman" w:hAnsi="Times New Roman" w:cs="Times New Roman"/>
          <w:sz w:val="24"/>
          <w:szCs w:val="24"/>
        </w:rPr>
        <w:t xml:space="preserve"> those found in another </w:t>
      </w:r>
      <w:r>
        <w:rPr>
          <w:rFonts w:ascii="Times New Roman" w:hAnsi="Times New Roman" w:cs="Times New Roman"/>
          <w:sz w:val="24"/>
          <w:szCs w:val="24"/>
        </w:rPr>
        <w:t>Zones of TVET students, teachers, deans</w:t>
      </w:r>
      <w:r w:rsidR="00656492">
        <w:rPr>
          <w:rFonts w:ascii="Times New Roman" w:hAnsi="Times New Roman" w:cs="Times New Roman"/>
          <w:sz w:val="24"/>
          <w:szCs w:val="24"/>
        </w:rPr>
        <w:t>,</w:t>
      </w:r>
      <w:r>
        <w:rPr>
          <w:rFonts w:ascii="Times New Roman" w:hAnsi="Times New Roman" w:cs="Times New Roman"/>
          <w:sz w:val="24"/>
          <w:szCs w:val="24"/>
        </w:rPr>
        <w:t xml:space="preserve"> center coordinators</w:t>
      </w:r>
      <w:r w:rsidR="00656492">
        <w:rPr>
          <w:rFonts w:ascii="Times New Roman" w:hAnsi="Times New Roman" w:cs="Times New Roman"/>
          <w:sz w:val="24"/>
          <w:szCs w:val="24"/>
        </w:rPr>
        <w:t xml:space="preserve"> of TVET centers.</w:t>
      </w:r>
    </w:p>
    <w:p w14:paraId="40FE7FA0" w14:textId="77777777" w:rsidR="00DD0615" w:rsidRPr="00656492" w:rsidRDefault="00DD0615" w:rsidP="00DD0615">
      <w:pPr>
        <w:spacing w:line="360" w:lineRule="auto"/>
        <w:jc w:val="both"/>
        <w:rPr>
          <w:rFonts w:ascii="Times New Roman" w:hAnsi="Times New Roman" w:cs="Times New Roman"/>
          <w:b/>
          <w:sz w:val="24"/>
          <w:szCs w:val="24"/>
        </w:rPr>
      </w:pPr>
      <w:r w:rsidRPr="00656492">
        <w:rPr>
          <w:rFonts w:ascii="Times New Roman" w:hAnsi="Times New Roman" w:cs="Times New Roman"/>
          <w:b/>
          <w:sz w:val="24"/>
          <w:szCs w:val="24"/>
        </w:rPr>
        <w:t>Funding</w:t>
      </w:r>
    </w:p>
    <w:p w14:paraId="7E72F649" w14:textId="025A84D1" w:rsidR="00656492" w:rsidRPr="00DD0615" w:rsidRDefault="00DD0615" w:rsidP="00461530">
      <w:pPr>
        <w:spacing w:line="276" w:lineRule="auto"/>
        <w:jc w:val="both"/>
        <w:rPr>
          <w:rFonts w:ascii="Times New Roman" w:hAnsi="Times New Roman" w:cs="Times New Roman"/>
          <w:sz w:val="24"/>
          <w:szCs w:val="24"/>
        </w:rPr>
      </w:pPr>
      <w:r w:rsidRPr="00DD0615">
        <w:rPr>
          <w:rFonts w:ascii="Times New Roman" w:hAnsi="Times New Roman" w:cs="Times New Roman"/>
          <w:sz w:val="24"/>
          <w:szCs w:val="24"/>
        </w:rPr>
        <w:t xml:space="preserve">This research </w:t>
      </w:r>
      <w:r w:rsidR="006F1ED3">
        <w:rPr>
          <w:rFonts w:ascii="Times New Roman" w:hAnsi="Times New Roman" w:cs="Times New Roman"/>
          <w:sz w:val="24"/>
          <w:szCs w:val="24"/>
        </w:rPr>
        <w:t>is funded by Bahir D</w:t>
      </w:r>
      <w:r w:rsidR="00656492">
        <w:rPr>
          <w:rFonts w:ascii="Times New Roman" w:hAnsi="Times New Roman" w:cs="Times New Roman"/>
          <w:sz w:val="24"/>
          <w:szCs w:val="24"/>
        </w:rPr>
        <w:t>ar University Research and community service and post graduate studies.</w:t>
      </w:r>
    </w:p>
    <w:p w14:paraId="528C26EB" w14:textId="77777777" w:rsidR="00DD0615" w:rsidRPr="00656492" w:rsidRDefault="00DD0615" w:rsidP="00DD0615">
      <w:pPr>
        <w:spacing w:line="360" w:lineRule="auto"/>
        <w:jc w:val="both"/>
        <w:rPr>
          <w:rFonts w:ascii="Times New Roman" w:hAnsi="Times New Roman" w:cs="Times New Roman"/>
          <w:b/>
          <w:sz w:val="24"/>
          <w:szCs w:val="24"/>
        </w:rPr>
      </w:pPr>
      <w:r w:rsidRPr="00656492">
        <w:rPr>
          <w:rFonts w:ascii="Times New Roman" w:hAnsi="Times New Roman" w:cs="Times New Roman"/>
          <w:b/>
          <w:sz w:val="24"/>
          <w:szCs w:val="24"/>
        </w:rPr>
        <w:t>Acknowledgments</w:t>
      </w:r>
    </w:p>
    <w:p w14:paraId="5E26AEA5" w14:textId="2FC4ED22" w:rsidR="009B709E" w:rsidRDefault="00DD0615" w:rsidP="00461530">
      <w:pPr>
        <w:spacing w:line="276" w:lineRule="auto"/>
        <w:jc w:val="both"/>
        <w:rPr>
          <w:rFonts w:ascii="Times New Roman" w:hAnsi="Times New Roman" w:cs="Times New Roman"/>
          <w:sz w:val="24"/>
          <w:szCs w:val="24"/>
        </w:rPr>
      </w:pPr>
      <w:r w:rsidRPr="00DD0615">
        <w:rPr>
          <w:rFonts w:ascii="Times New Roman" w:hAnsi="Times New Roman" w:cs="Times New Roman"/>
          <w:sz w:val="24"/>
          <w:szCs w:val="24"/>
        </w:rPr>
        <w:t>The author</w:t>
      </w:r>
      <w:r w:rsidR="00656492">
        <w:rPr>
          <w:rFonts w:ascii="Times New Roman" w:hAnsi="Times New Roman" w:cs="Times New Roman"/>
          <w:sz w:val="24"/>
          <w:szCs w:val="24"/>
        </w:rPr>
        <w:t>s</w:t>
      </w:r>
      <w:r w:rsidRPr="00DD0615">
        <w:rPr>
          <w:rFonts w:ascii="Times New Roman" w:hAnsi="Times New Roman" w:cs="Times New Roman"/>
          <w:sz w:val="24"/>
          <w:szCs w:val="24"/>
        </w:rPr>
        <w:t xml:space="preserve"> collected the primary data</w:t>
      </w:r>
      <w:r w:rsidR="0057125A">
        <w:rPr>
          <w:rFonts w:ascii="Times New Roman" w:hAnsi="Times New Roman" w:cs="Times New Roman"/>
          <w:sz w:val="24"/>
          <w:szCs w:val="24"/>
        </w:rPr>
        <w:t xml:space="preserve"> </w:t>
      </w:r>
      <w:r w:rsidR="0057125A" w:rsidRPr="00DD0615">
        <w:rPr>
          <w:rFonts w:ascii="Times New Roman" w:hAnsi="Times New Roman" w:cs="Times New Roman"/>
          <w:sz w:val="24"/>
          <w:szCs w:val="24"/>
        </w:rPr>
        <w:t xml:space="preserve">from </w:t>
      </w:r>
      <w:r w:rsidR="0057125A">
        <w:rPr>
          <w:rFonts w:ascii="Times New Roman" w:hAnsi="Times New Roman" w:cs="Times New Roman"/>
          <w:sz w:val="24"/>
          <w:szCs w:val="24"/>
        </w:rPr>
        <w:t>students</w:t>
      </w:r>
      <w:r w:rsidR="00656492">
        <w:rPr>
          <w:rFonts w:ascii="Times New Roman" w:hAnsi="Times New Roman" w:cs="Times New Roman"/>
          <w:sz w:val="24"/>
          <w:szCs w:val="24"/>
        </w:rPr>
        <w:t>, teachers, deans, center coordinators of TVET centers. We are</w:t>
      </w:r>
      <w:r w:rsidRPr="00DD0615">
        <w:rPr>
          <w:rFonts w:ascii="Times New Roman" w:hAnsi="Times New Roman" w:cs="Times New Roman"/>
          <w:sz w:val="24"/>
          <w:szCs w:val="24"/>
        </w:rPr>
        <w:t xml:space="preserve"> grateful for the </w:t>
      </w:r>
      <w:r w:rsidR="00656492">
        <w:rPr>
          <w:rFonts w:ascii="Times New Roman" w:hAnsi="Times New Roman" w:cs="Times New Roman"/>
          <w:sz w:val="24"/>
          <w:szCs w:val="24"/>
        </w:rPr>
        <w:t xml:space="preserve">IOCA, NOCA and ROCA </w:t>
      </w:r>
      <w:r w:rsidR="0057125A">
        <w:rPr>
          <w:rFonts w:ascii="Times New Roman" w:hAnsi="Times New Roman" w:cs="Times New Roman"/>
          <w:sz w:val="24"/>
          <w:szCs w:val="24"/>
        </w:rPr>
        <w:t xml:space="preserve">TVET </w:t>
      </w:r>
      <w:r w:rsidR="006B7D86">
        <w:rPr>
          <w:rFonts w:ascii="Times New Roman" w:hAnsi="Times New Roman" w:cs="Times New Roman"/>
          <w:sz w:val="24"/>
          <w:szCs w:val="24"/>
        </w:rPr>
        <w:t>Exam centers</w:t>
      </w:r>
      <w:r w:rsidR="0057125A" w:rsidRPr="0057125A">
        <w:rPr>
          <w:rFonts w:ascii="Times New Roman" w:hAnsi="Times New Roman" w:cs="Times New Roman"/>
          <w:sz w:val="24"/>
          <w:szCs w:val="24"/>
        </w:rPr>
        <w:t>.</w:t>
      </w:r>
      <w:r w:rsidR="006B7D86" w:rsidRPr="0057125A">
        <w:rPr>
          <w:rFonts w:ascii="Times New Roman" w:eastAsia="Times New Roman" w:hAnsi="Times New Roman" w:cs="Times New Roman"/>
          <w:sz w:val="24"/>
          <w:szCs w:val="24"/>
        </w:rPr>
        <w:t xml:space="preserve"> AOCACA (</w:t>
      </w:r>
      <w:r w:rsidR="006B7D86" w:rsidRPr="0057125A">
        <w:rPr>
          <w:rFonts w:ascii="Times New Roman" w:hAnsi="Times New Roman" w:cs="Times New Roman"/>
          <w:iCs/>
          <w:sz w:val="24"/>
          <w:szCs w:val="24"/>
        </w:rPr>
        <w:t>Amhara Occupational Competency Assessment Certification Agency)</w:t>
      </w:r>
      <w:r w:rsidR="0057125A">
        <w:rPr>
          <w:rFonts w:ascii="Times New Roman" w:hAnsi="Times New Roman" w:cs="Times New Roman"/>
          <w:sz w:val="24"/>
          <w:szCs w:val="24"/>
        </w:rPr>
        <w:t xml:space="preserve"> </w:t>
      </w:r>
      <w:r w:rsidR="006B7D86" w:rsidRPr="00DD0615">
        <w:rPr>
          <w:rFonts w:ascii="Times New Roman" w:hAnsi="Times New Roman" w:cs="Times New Roman"/>
          <w:sz w:val="24"/>
          <w:szCs w:val="24"/>
        </w:rPr>
        <w:t>who</w:t>
      </w:r>
      <w:r w:rsidRPr="00DD0615">
        <w:rPr>
          <w:rFonts w:ascii="Times New Roman" w:hAnsi="Times New Roman" w:cs="Times New Roman"/>
          <w:sz w:val="24"/>
          <w:szCs w:val="24"/>
        </w:rPr>
        <w:t xml:space="preserve"> provided the</w:t>
      </w:r>
      <w:r w:rsidR="00656492">
        <w:rPr>
          <w:rFonts w:ascii="Times New Roman" w:hAnsi="Times New Roman" w:cs="Times New Roman"/>
          <w:sz w:val="24"/>
          <w:szCs w:val="24"/>
        </w:rPr>
        <w:t xml:space="preserve"> </w:t>
      </w:r>
      <w:r w:rsidRPr="00DD0615">
        <w:rPr>
          <w:rFonts w:ascii="Times New Roman" w:hAnsi="Times New Roman" w:cs="Times New Roman"/>
          <w:sz w:val="24"/>
          <w:szCs w:val="24"/>
        </w:rPr>
        <w:t xml:space="preserve">necessary data </w:t>
      </w:r>
      <w:r w:rsidR="0057125A">
        <w:rPr>
          <w:rFonts w:ascii="Times New Roman" w:hAnsi="Times New Roman" w:cs="Times New Roman"/>
          <w:sz w:val="24"/>
          <w:szCs w:val="24"/>
        </w:rPr>
        <w:t xml:space="preserve">for the study. Our </w:t>
      </w:r>
      <w:r w:rsidR="0057125A" w:rsidRPr="00DD0615">
        <w:rPr>
          <w:rFonts w:ascii="Times New Roman" w:hAnsi="Times New Roman" w:cs="Times New Roman"/>
          <w:sz w:val="24"/>
          <w:szCs w:val="24"/>
        </w:rPr>
        <w:t>special</w:t>
      </w:r>
      <w:r w:rsidRPr="00DD0615">
        <w:rPr>
          <w:rFonts w:ascii="Times New Roman" w:hAnsi="Times New Roman" w:cs="Times New Roman"/>
          <w:sz w:val="24"/>
          <w:szCs w:val="24"/>
        </w:rPr>
        <w:t xml:space="preserve"> appreciation goes</w:t>
      </w:r>
      <w:r w:rsidR="0057125A">
        <w:rPr>
          <w:rFonts w:ascii="Times New Roman" w:hAnsi="Times New Roman" w:cs="Times New Roman"/>
          <w:sz w:val="24"/>
          <w:szCs w:val="24"/>
        </w:rPr>
        <w:t xml:space="preserve"> </w:t>
      </w:r>
      <w:r w:rsidRPr="00DD0615">
        <w:rPr>
          <w:rFonts w:ascii="Times New Roman" w:hAnsi="Times New Roman" w:cs="Times New Roman"/>
          <w:sz w:val="24"/>
          <w:szCs w:val="24"/>
        </w:rPr>
        <w:t>to all individuals who</w:t>
      </w:r>
      <w:r w:rsidR="0057125A">
        <w:rPr>
          <w:rFonts w:ascii="Times New Roman" w:hAnsi="Times New Roman" w:cs="Times New Roman"/>
          <w:sz w:val="24"/>
          <w:szCs w:val="24"/>
        </w:rPr>
        <w:t xml:space="preserve"> </w:t>
      </w:r>
      <w:r w:rsidRPr="00DD0615">
        <w:rPr>
          <w:rFonts w:ascii="Times New Roman" w:hAnsi="Times New Roman" w:cs="Times New Roman"/>
          <w:sz w:val="24"/>
          <w:szCs w:val="24"/>
        </w:rPr>
        <w:t>participated during data collection</w:t>
      </w:r>
      <w:r w:rsidR="0057125A">
        <w:rPr>
          <w:rFonts w:ascii="Times New Roman" w:hAnsi="Times New Roman" w:cs="Times New Roman"/>
          <w:sz w:val="24"/>
          <w:szCs w:val="24"/>
        </w:rPr>
        <w:t xml:space="preserve"> process. </w:t>
      </w:r>
    </w:p>
    <w:p w14:paraId="422EEE3F" w14:textId="0B93AB9F" w:rsidR="00333487" w:rsidRPr="00A36470" w:rsidRDefault="00736998" w:rsidP="009136A5">
      <w:pPr>
        <w:pStyle w:val="ListParagraph"/>
        <w:numPr>
          <w:ilvl w:val="0"/>
          <w:numId w:val="23"/>
        </w:numPr>
        <w:spacing w:before="120" w:after="120" w:line="360" w:lineRule="auto"/>
        <w:jc w:val="both"/>
        <w:rPr>
          <w:rFonts w:ascii="Times New Roman" w:hAnsi="Times New Roman" w:cs="Times New Roman"/>
          <w:sz w:val="24"/>
          <w:szCs w:val="24"/>
        </w:rPr>
      </w:pPr>
      <w:r w:rsidRPr="00A36470">
        <w:rPr>
          <w:rFonts w:ascii="Times New Roman" w:hAnsi="Times New Roman" w:cs="Times New Roman"/>
          <w:b/>
          <w:sz w:val="24"/>
          <w:szCs w:val="24"/>
        </w:rPr>
        <w:t>References</w:t>
      </w:r>
    </w:p>
    <w:p w14:paraId="6CC09F87" w14:textId="77777777" w:rsidR="007C2D57" w:rsidRPr="002944E9" w:rsidRDefault="007C2D57" w:rsidP="00461530">
      <w:pPr>
        <w:spacing w:line="276" w:lineRule="auto"/>
        <w:ind w:left="720" w:hanging="720"/>
        <w:jc w:val="both"/>
        <w:rPr>
          <w:rFonts w:ascii="Times New Roman" w:hAnsi="Times New Roman" w:cs="Times New Roman"/>
          <w:sz w:val="24"/>
          <w:szCs w:val="24"/>
        </w:rPr>
      </w:pPr>
      <w:r w:rsidRPr="002944E9">
        <w:rPr>
          <w:rFonts w:ascii="Times New Roman" w:hAnsi="Times New Roman" w:cs="Times New Roman"/>
          <w:sz w:val="24"/>
          <w:szCs w:val="24"/>
        </w:rPr>
        <w:t xml:space="preserve">Adeyemi, J. K., &amp; Ige, A. A. (2002). Examination malpractices in Nigerian </w:t>
      </w:r>
      <w:r w:rsidRPr="002944E9">
        <w:rPr>
          <w:rFonts w:ascii="Times New Roman" w:hAnsi="Times New Roman" w:cs="Times New Roman"/>
          <w:sz w:val="24"/>
          <w:szCs w:val="24"/>
        </w:rPr>
        <w:lastRenderedPageBreak/>
        <w:t xml:space="preserve">educational system: Causes, effects and the way out. </w:t>
      </w:r>
      <w:r w:rsidRPr="002944E9">
        <w:rPr>
          <w:rFonts w:ascii="Times New Roman" w:hAnsi="Times New Roman" w:cs="Times New Roman"/>
          <w:i/>
          <w:sz w:val="24"/>
          <w:szCs w:val="24"/>
        </w:rPr>
        <w:t>Nigerian Journal of Clinical and Counselling Psychology, 8(</w:t>
      </w:r>
      <w:r w:rsidRPr="002944E9">
        <w:rPr>
          <w:rFonts w:ascii="Times New Roman" w:hAnsi="Times New Roman" w:cs="Times New Roman"/>
          <w:sz w:val="24"/>
          <w:szCs w:val="24"/>
        </w:rPr>
        <w:t>1), 57-76. DOI:10.4314/</w:t>
      </w:r>
      <w:proofErr w:type="spellStart"/>
      <w:r w:rsidRPr="002944E9">
        <w:rPr>
          <w:rFonts w:ascii="Times New Roman" w:hAnsi="Times New Roman" w:cs="Times New Roman"/>
          <w:sz w:val="24"/>
          <w:szCs w:val="24"/>
        </w:rPr>
        <w:t>njccp</w:t>
      </w:r>
      <w:proofErr w:type="spellEnd"/>
      <w:r w:rsidRPr="002944E9">
        <w:rPr>
          <w:rFonts w:ascii="Times New Roman" w:hAnsi="Times New Roman" w:cs="Times New Roman"/>
          <w:sz w:val="24"/>
          <w:szCs w:val="24"/>
        </w:rPr>
        <w:t>. v8i1.23915</w:t>
      </w:r>
    </w:p>
    <w:p w14:paraId="34B4E7B1" w14:textId="77777777" w:rsidR="007C2D57" w:rsidRPr="002944E9" w:rsidRDefault="007C2D57" w:rsidP="00461530">
      <w:pPr>
        <w:spacing w:line="276" w:lineRule="auto"/>
        <w:ind w:left="720" w:hanging="720"/>
        <w:jc w:val="both"/>
        <w:rPr>
          <w:rFonts w:ascii="Times New Roman" w:hAnsi="Times New Roman" w:cs="Times New Roman"/>
          <w:sz w:val="24"/>
          <w:szCs w:val="24"/>
        </w:rPr>
      </w:pPr>
      <w:r w:rsidRPr="002944E9">
        <w:rPr>
          <w:rFonts w:ascii="Times New Roman" w:hAnsi="Times New Roman" w:cs="Times New Roman"/>
          <w:sz w:val="24"/>
          <w:szCs w:val="24"/>
        </w:rPr>
        <w:t xml:space="preserve">Alavi, T. (2012). The predictive validity of final English exams as a measure of success in Iranian National University Entrance English Exam. </w:t>
      </w:r>
      <w:r w:rsidRPr="002944E9">
        <w:rPr>
          <w:rFonts w:ascii="Times New Roman" w:hAnsi="Times New Roman" w:cs="Times New Roman"/>
          <w:i/>
          <w:sz w:val="24"/>
          <w:szCs w:val="24"/>
        </w:rPr>
        <w:t>Journal of Language Teaching and Research, 3(</w:t>
      </w:r>
      <w:r w:rsidRPr="002944E9">
        <w:rPr>
          <w:rFonts w:ascii="Times New Roman" w:hAnsi="Times New Roman" w:cs="Times New Roman"/>
          <w:sz w:val="24"/>
          <w:szCs w:val="24"/>
        </w:rPr>
        <w:t>1), 224-228. doi:10.4304/jltr.3.1.224-228</w:t>
      </w:r>
      <w:bookmarkStart w:id="16" w:name="_Hlk158334553"/>
    </w:p>
    <w:bookmarkEnd w:id="16"/>
    <w:p w14:paraId="1B294FA3" w14:textId="77777777" w:rsidR="007C2D57" w:rsidRPr="002944E9" w:rsidRDefault="007C2D57" w:rsidP="00461530">
      <w:pPr>
        <w:spacing w:line="276" w:lineRule="auto"/>
        <w:ind w:left="720" w:hanging="720"/>
        <w:jc w:val="both"/>
        <w:rPr>
          <w:rFonts w:ascii="Times New Roman" w:hAnsi="Times New Roman" w:cs="Times New Roman"/>
          <w:sz w:val="24"/>
          <w:szCs w:val="24"/>
        </w:rPr>
      </w:pPr>
      <w:r w:rsidRPr="002944E9">
        <w:rPr>
          <w:rFonts w:ascii="Times New Roman" w:hAnsi="Times New Roman" w:cs="Times New Roman"/>
          <w:sz w:val="24"/>
          <w:szCs w:val="24"/>
        </w:rPr>
        <w:t xml:space="preserve">Allensworth, E. M., &amp; Clark, K. (2020). High school GPAs and ACT scores as predictors of college completion: Examining assumptions about consistency across high schools. </w:t>
      </w:r>
      <w:r w:rsidRPr="002944E9">
        <w:rPr>
          <w:rFonts w:ascii="Times New Roman" w:hAnsi="Times New Roman" w:cs="Times New Roman"/>
          <w:i/>
          <w:sz w:val="24"/>
          <w:szCs w:val="24"/>
        </w:rPr>
        <w:t>Educational</w:t>
      </w:r>
      <w:r w:rsidRPr="002944E9">
        <w:rPr>
          <w:rFonts w:ascii="Times New Roman" w:hAnsi="Times New Roman" w:cs="Times New Roman"/>
          <w:sz w:val="24"/>
          <w:szCs w:val="24"/>
        </w:rPr>
        <w:t xml:space="preserve"> </w:t>
      </w:r>
      <w:r w:rsidRPr="002944E9">
        <w:rPr>
          <w:rFonts w:ascii="Times New Roman" w:hAnsi="Times New Roman" w:cs="Times New Roman"/>
          <w:i/>
          <w:sz w:val="24"/>
          <w:szCs w:val="24"/>
        </w:rPr>
        <w:t>Researcher</w:t>
      </w:r>
      <w:r w:rsidRPr="002944E9">
        <w:rPr>
          <w:rFonts w:ascii="Times New Roman" w:hAnsi="Times New Roman" w:cs="Times New Roman"/>
          <w:sz w:val="24"/>
          <w:szCs w:val="24"/>
        </w:rPr>
        <w:t xml:space="preserve">, </w:t>
      </w:r>
      <w:r w:rsidRPr="002944E9">
        <w:rPr>
          <w:rFonts w:ascii="Times New Roman" w:hAnsi="Times New Roman" w:cs="Times New Roman"/>
          <w:i/>
          <w:sz w:val="24"/>
          <w:szCs w:val="24"/>
        </w:rPr>
        <w:t>49</w:t>
      </w:r>
      <w:r w:rsidRPr="002944E9">
        <w:rPr>
          <w:rFonts w:ascii="Times New Roman" w:hAnsi="Times New Roman" w:cs="Times New Roman"/>
          <w:sz w:val="24"/>
          <w:szCs w:val="24"/>
        </w:rPr>
        <w:t>(3), 198-211. DOI: 10.3102/0013189X20902110</w:t>
      </w:r>
    </w:p>
    <w:p w14:paraId="1AE0EDFE" w14:textId="77777777" w:rsidR="007C2D57" w:rsidRPr="00461530" w:rsidRDefault="007C2D57" w:rsidP="00461530">
      <w:pPr>
        <w:spacing w:line="276" w:lineRule="auto"/>
        <w:ind w:left="720" w:hanging="720"/>
        <w:jc w:val="both"/>
        <w:rPr>
          <w:rFonts w:ascii="Times New Roman" w:hAnsi="Times New Roman" w:cs="Times New Roman"/>
          <w:sz w:val="24"/>
          <w:szCs w:val="24"/>
        </w:rPr>
      </w:pPr>
      <w:proofErr w:type="gramStart"/>
      <w:r w:rsidRPr="00461530">
        <w:rPr>
          <w:rFonts w:ascii="Times New Roman" w:hAnsi="Times New Roman" w:cs="Times New Roman"/>
          <w:sz w:val="24"/>
          <w:szCs w:val="24"/>
        </w:rPr>
        <w:t>BCSEA(</w:t>
      </w:r>
      <w:proofErr w:type="gramEnd"/>
      <w:r w:rsidRPr="00461530">
        <w:rPr>
          <w:rFonts w:ascii="Times New Roman" w:hAnsi="Times New Roman" w:cs="Times New Roman"/>
          <w:sz w:val="24"/>
          <w:szCs w:val="24"/>
        </w:rPr>
        <w:t xml:space="preserve">2022).  Competency-Based Assessment Guidelines. </w:t>
      </w:r>
      <w:r w:rsidRPr="00461530">
        <w:rPr>
          <w:rFonts w:ascii="Times New Roman" w:hAnsi="Times New Roman" w:cs="Times New Roman"/>
          <w:i/>
          <w:sz w:val="24"/>
          <w:szCs w:val="24"/>
        </w:rPr>
        <w:t xml:space="preserve">Assessment and Monitoring Division. Bhutan Council for School Examinations and Assessment </w:t>
      </w:r>
      <w:proofErr w:type="spellStart"/>
      <w:r w:rsidRPr="00461530">
        <w:rPr>
          <w:rFonts w:ascii="Times New Roman" w:hAnsi="Times New Roman" w:cs="Times New Roman"/>
          <w:i/>
          <w:sz w:val="24"/>
          <w:szCs w:val="24"/>
        </w:rPr>
        <w:t>Babesa</w:t>
      </w:r>
      <w:proofErr w:type="spellEnd"/>
      <w:r w:rsidRPr="00461530">
        <w:rPr>
          <w:rFonts w:ascii="Times New Roman" w:hAnsi="Times New Roman" w:cs="Times New Roman"/>
          <w:i/>
          <w:sz w:val="24"/>
          <w:szCs w:val="24"/>
        </w:rPr>
        <w:t>, Thimphu, Bhutan</w:t>
      </w:r>
      <w:r w:rsidRPr="00461530">
        <w:rPr>
          <w:rFonts w:ascii="Times New Roman" w:hAnsi="Times New Roman" w:cs="Times New Roman"/>
          <w:sz w:val="24"/>
          <w:szCs w:val="24"/>
        </w:rPr>
        <w:t xml:space="preserve">. </w:t>
      </w:r>
      <w:hyperlink r:id="rId15" w:history="1">
        <w:r w:rsidRPr="00461530">
          <w:rPr>
            <w:rStyle w:val="Hyperlink"/>
            <w:rFonts w:ascii="Times New Roman" w:hAnsi="Times New Roman" w:cs="Times New Roman"/>
            <w:sz w:val="24"/>
            <w:szCs w:val="24"/>
            <w:u w:val="none"/>
          </w:rPr>
          <w:t xml:space="preserve"> BCSEA_sml_1660213406 (1).pdf</w:t>
        </w:r>
      </w:hyperlink>
    </w:p>
    <w:p w14:paraId="4216F194" w14:textId="77777777" w:rsidR="007C2D57" w:rsidRPr="00461530" w:rsidRDefault="007C2D57" w:rsidP="00461530">
      <w:pPr>
        <w:spacing w:line="276" w:lineRule="auto"/>
        <w:ind w:left="720" w:hanging="720"/>
        <w:jc w:val="both"/>
        <w:rPr>
          <w:rFonts w:ascii="Times New Roman" w:hAnsi="Times New Roman" w:cs="Times New Roman"/>
          <w:sz w:val="24"/>
          <w:szCs w:val="24"/>
        </w:rPr>
      </w:pPr>
      <w:r w:rsidRPr="00461530">
        <w:rPr>
          <w:rFonts w:ascii="Times New Roman" w:hAnsi="Times New Roman" w:cs="Times New Roman"/>
          <w:sz w:val="24"/>
          <w:szCs w:val="24"/>
        </w:rPr>
        <w:t xml:space="preserve">Bellotti, F., Kapralos, B., Lee, K., Moreno-Ger, P., &amp; Berta, R. (2013). Assessment in and of serious games: an overview. </w:t>
      </w:r>
      <w:r w:rsidRPr="00461530">
        <w:rPr>
          <w:rFonts w:ascii="Times New Roman" w:hAnsi="Times New Roman" w:cs="Times New Roman"/>
          <w:i/>
          <w:sz w:val="24"/>
          <w:szCs w:val="24"/>
        </w:rPr>
        <w:t>Advances in human-computer interaction</w:t>
      </w:r>
      <w:r w:rsidRPr="00461530">
        <w:rPr>
          <w:rFonts w:ascii="Times New Roman" w:hAnsi="Times New Roman" w:cs="Times New Roman"/>
          <w:sz w:val="24"/>
          <w:szCs w:val="24"/>
        </w:rPr>
        <w:t xml:space="preserve">, 2013. </w:t>
      </w:r>
      <w:hyperlink r:id="rId16" w:history="1">
        <w:r w:rsidRPr="00461530">
          <w:rPr>
            <w:rStyle w:val="Hyperlink"/>
            <w:rFonts w:ascii="Times New Roman" w:hAnsi="Times New Roman" w:cs="Times New Roman"/>
            <w:sz w:val="24"/>
            <w:szCs w:val="24"/>
            <w:u w:val="none"/>
          </w:rPr>
          <w:t>https://doi.org/10.1155/2013/136864</w:t>
        </w:r>
      </w:hyperlink>
    </w:p>
    <w:p w14:paraId="053E9F79" w14:textId="77777777" w:rsidR="007C2D57" w:rsidRPr="002944E9" w:rsidRDefault="007C2D57" w:rsidP="00461530">
      <w:pPr>
        <w:spacing w:line="276" w:lineRule="auto"/>
        <w:ind w:left="720" w:hanging="720"/>
        <w:jc w:val="both"/>
        <w:rPr>
          <w:rFonts w:ascii="Times New Roman" w:hAnsi="Times New Roman" w:cs="Times New Roman"/>
          <w:sz w:val="24"/>
          <w:szCs w:val="24"/>
        </w:rPr>
      </w:pPr>
      <w:r w:rsidRPr="00461530">
        <w:rPr>
          <w:rFonts w:ascii="Times New Roman" w:hAnsi="Times New Roman" w:cs="Times New Roman"/>
          <w:color w:val="222222"/>
          <w:sz w:val="24"/>
          <w:szCs w:val="24"/>
          <w:shd w:val="clear" w:color="auto" w:fill="FFFFFF"/>
        </w:rPr>
        <w:t>Benjamin, B. O., &amp; Habila, E. (2020). Predictive validity of continuous assessment scores on students’ performance of junior secondary certificate examination in English language in Gombe State, Nigeria. </w:t>
      </w:r>
      <w:r w:rsidRPr="00461530">
        <w:rPr>
          <w:rFonts w:ascii="Times New Roman" w:hAnsi="Times New Roman" w:cs="Times New Roman"/>
          <w:i/>
          <w:iCs/>
          <w:color w:val="222222"/>
          <w:sz w:val="24"/>
          <w:szCs w:val="24"/>
          <w:shd w:val="clear" w:color="auto" w:fill="FFFFFF"/>
        </w:rPr>
        <w:t>International Journal of Education and Research</w:t>
      </w:r>
      <w:r w:rsidRPr="00461530">
        <w:rPr>
          <w:rFonts w:ascii="Times New Roman" w:hAnsi="Times New Roman" w:cs="Times New Roman"/>
          <w:color w:val="222222"/>
          <w:sz w:val="24"/>
          <w:szCs w:val="24"/>
          <w:shd w:val="clear" w:color="auto" w:fill="FFFFFF"/>
        </w:rPr>
        <w:t>, </w:t>
      </w:r>
      <w:r w:rsidRPr="00461530">
        <w:rPr>
          <w:rFonts w:ascii="Times New Roman" w:hAnsi="Times New Roman" w:cs="Times New Roman"/>
          <w:i/>
          <w:iCs/>
          <w:color w:val="222222"/>
          <w:sz w:val="24"/>
          <w:szCs w:val="24"/>
          <w:shd w:val="clear" w:color="auto" w:fill="FFFFFF"/>
        </w:rPr>
        <w:t>8</w:t>
      </w:r>
      <w:r w:rsidRPr="00461530">
        <w:rPr>
          <w:rFonts w:ascii="Times New Roman" w:hAnsi="Times New Roman" w:cs="Times New Roman"/>
          <w:color w:val="222222"/>
          <w:sz w:val="24"/>
          <w:szCs w:val="24"/>
          <w:shd w:val="clear" w:color="auto" w:fill="FFFFFF"/>
        </w:rPr>
        <w:t>(8).</w:t>
      </w:r>
      <w:hyperlink r:id="rId17" w:history="1">
        <w:r w:rsidRPr="00461530">
          <w:rPr>
            <w:rStyle w:val="Hyperlink"/>
            <w:rFonts w:ascii="Times New Roman" w:hAnsi="Times New Roman" w:cs="Times New Roman"/>
            <w:sz w:val="24"/>
            <w:szCs w:val="24"/>
            <w:u w:val="none"/>
          </w:rPr>
          <w:t>https://ijern.com/journal/2020/August%202020/08</w:t>
        </w:r>
      </w:hyperlink>
      <w:r w:rsidRPr="002944E9">
        <w:rPr>
          <w:rFonts w:ascii="Times New Roman" w:hAnsi="Times New Roman" w:cs="Times New Roman"/>
          <w:sz w:val="24"/>
          <w:szCs w:val="24"/>
        </w:rPr>
        <w:t>.</w:t>
      </w:r>
    </w:p>
    <w:p w14:paraId="4E789D3A" w14:textId="77777777" w:rsidR="007C2D57" w:rsidRPr="00461530" w:rsidRDefault="007C2D57" w:rsidP="00461530">
      <w:pPr>
        <w:spacing w:line="276" w:lineRule="auto"/>
        <w:ind w:left="720" w:hanging="720"/>
        <w:jc w:val="both"/>
        <w:rPr>
          <w:rFonts w:ascii="Times New Roman" w:hAnsi="Times New Roman" w:cs="Times New Roman"/>
          <w:color w:val="222222"/>
          <w:sz w:val="24"/>
          <w:szCs w:val="24"/>
          <w:shd w:val="clear" w:color="auto" w:fill="FFFFFF"/>
        </w:rPr>
      </w:pPr>
      <w:r w:rsidRPr="00461530">
        <w:rPr>
          <w:rFonts w:ascii="Times New Roman" w:hAnsi="Times New Roman" w:cs="Times New Roman"/>
          <w:sz w:val="24"/>
          <w:szCs w:val="24"/>
        </w:rPr>
        <w:t xml:space="preserve">. </w:t>
      </w:r>
      <w:r w:rsidRPr="00461530">
        <w:rPr>
          <w:rFonts w:ascii="Times New Roman" w:hAnsi="Times New Roman" w:cs="Times New Roman"/>
          <w:color w:val="222222"/>
          <w:sz w:val="24"/>
          <w:szCs w:val="24"/>
          <w:shd w:val="clear" w:color="auto" w:fill="FFFFFF"/>
        </w:rPr>
        <w:t xml:space="preserve">Biggs, J. (1996). Assessing learning quality: Reconciling institutional, staff and </w:t>
      </w:r>
      <w:r w:rsidRPr="00461530">
        <w:rPr>
          <w:rFonts w:ascii="Times New Roman" w:hAnsi="Times New Roman" w:cs="Times New Roman"/>
          <w:color w:val="222222"/>
          <w:sz w:val="24"/>
          <w:szCs w:val="24"/>
          <w:shd w:val="clear" w:color="auto" w:fill="FFFFFF"/>
        </w:rPr>
        <w:t>educational demands. </w:t>
      </w:r>
      <w:r w:rsidRPr="00461530">
        <w:rPr>
          <w:rFonts w:ascii="Times New Roman" w:hAnsi="Times New Roman" w:cs="Times New Roman"/>
          <w:i/>
          <w:iCs/>
          <w:color w:val="222222"/>
          <w:sz w:val="24"/>
          <w:szCs w:val="24"/>
          <w:shd w:val="clear" w:color="auto" w:fill="FFFFFF"/>
        </w:rPr>
        <w:t>Assessment and evaluation in Higher Education</w:t>
      </w:r>
      <w:r w:rsidRPr="00461530">
        <w:rPr>
          <w:rFonts w:ascii="Times New Roman" w:hAnsi="Times New Roman" w:cs="Times New Roman"/>
          <w:color w:val="222222"/>
          <w:sz w:val="24"/>
          <w:szCs w:val="24"/>
          <w:shd w:val="clear" w:color="auto" w:fill="FFFFFF"/>
        </w:rPr>
        <w:t>, </w:t>
      </w:r>
      <w:r w:rsidRPr="00461530">
        <w:rPr>
          <w:rFonts w:ascii="Times New Roman" w:hAnsi="Times New Roman" w:cs="Times New Roman"/>
          <w:i/>
          <w:iCs/>
          <w:color w:val="222222"/>
          <w:sz w:val="24"/>
          <w:szCs w:val="24"/>
          <w:shd w:val="clear" w:color="auto" w:fill="FFFFFF"/>
        </w:rPr>
        <w:t>21</w:t>
      </w:r>
      <w:r w:rsidRPr="00461530">
        <w:rPr>
          <w:rFonts w:ascii="Times New Roman" w:hAnsi="Times New Roman" w:cs="Times New Roman"/>
          <w:color w:val="222222"/>
          <w:sz w:val="24"/>
          <w:szCs w:val="24"/>
          <w:shd w:val="clear" w:color="auto" w:fill="FFFFFF"/>
        </w:rPr>
        <w:t>(1), 5-16.</w:t>
      </w:r>
      <w:r w:rsidRPr="00461530">
        <w:rPr>
          <w:rFonts w:ascii="Times New Roman" w:hAnsi="Times New Roman" w:cs="Times New Roman"/>
          <w:sz w:val="24"/>
          <w:szCs w:val="24"/>
        </w:rPr>
        <w:t xml:space="preserve">  </w:t>
      </w:r>
      <w:hyperlink r:id="rId18" w:history="1">
        <w:r w:rsidRPr="00461530">
          <w:rPr>
            <w:rStyle w:val="Hyperlink"/>
            <w:rFonts w:ascii="Times New Roman" w:hAnsi="Times New Roman" w:cs="Times New Roman"/>
            <w:sz w:val="24"/>
            <w:szCs w:val="24"/>
            <w:u w:val="none"/>
          </w:rPr>
          <w:t>https://doi.org/10.1080/0260293960210101</w:t>
        </w:r>
      </w:hyperlink>
    </w:p>
    <w:p w14:paraId="0434A3B9" w14:textId="77777777" w:rsidR="007C2D57" w:rsidRPr="002944E9" w:rsidRDefault="007C2D57" w:rsidP="00461530">
      <w:pPr>
        <w:spacing w:line="276" w:lineRule="auto"/>
        <w:ind w:left="720" w:hanging="720"/>
        <w:jc w:val="both"/>
        <w:rPr>
          <w:rFonts w:ascii="Times New Roman" w:hAnsi="Times New Roman" w:cs="Times New Roman"/>
          <w:sz w:val="24"/>
          <w:szCs w:val="24"/>
        </w:rPr>
      </w:pPr>
      <w:r w:rsidRPr="002944E9">
        <w:rPr>
          <w:rFonts w:ascii="Times New Roman" w:hAnsi="Times New Roman" w:cs="Times New Roman"/>
          <w:sz w:val="24"/>
          <w:szCs w:val="24"/>
        </w:rPr>
        <w:t xml:space="preserve">Black, P., &amp; Wiliam, D. (2010). Inside the black box: </w:t>
      </w:r>
      <w:r w:rsidRPr="002944E9">
        <w:rPr>
          <w:rFonts w:ascii="Times New Roman" w:hAnsi="Times New Roman" w:cs="Times New Roman"/>
          <w:i/>
          <w:sz w:val="24"/>
          <w:szCs w:val="24"/>
        </w:rPr>
        <w:t>Raising standards through classroom assessment. Granada Learning.</w:t>
      </w:r>
      <w:r w:rsidRPr="002944E9">
        <w:rPr>
          <w:rFonts w:ascii="Times New Roman" w:hAnsi="Times New Roman" w:cs="Times New Roman"/>
          <w:sz w:val="24"/>
          <w:szCs w:val="24"/>
        </w:rPr>
        <w:t xml:space="preserve"> [https://books.google.com.et/]</w:t>
      </w:r>
    </w:p>
    <w:p w14:paraId="7279A807" w14:textId="77777777" w:rsidR="007C2D57" w:rsidRPr="00461530" w:rsidRDefault="007C2D57" w:rsidP="00461530">
      <w:pPr>
        <w:spacing w:line="276" w:lineRule="auto"/>
        <w:ind w:left="720" w:hanging="720"/>
        <w:jc w:val="both"/>
        <w:rPr>
          <w:rFonts w:ascii="Times New Roman" w:hAnsi="Times New Roman" w:cs="Times New Roman"/>
          <w:sz w:val="24"/>
          <w:szCs w:val="24"/>
        </w:rPr>
      </w:pPr>
      <w:r w:rsidRPr="00461530">
        <w:rPr>
          <w:rFonts w:ascii="Times New Roman" w:hAnsi="Times New Roman" w:cs="Times New Roman"/>
          <w:sz w:val="24"/>
          <w:szCs w:val="24"/>
        </w:rPr>
        <w:t xml:space="preserve">Bukit, M., Johar, A., &amp; </w:t>
      </w:r>
      <w:proofErr w:type="spellStart"/>
      <w:r w:rsidRPr="00461530">
        <w:rPr>
          <w:rFonts w:ascii="Times New Roman" w:hAnsi="Times New Roman" w:cs="Times New Roman"/>
          <w:sz w:val="24"/>
          <w:szCs w:val="24"/>
        </w:rPr>
        <w:t>Kuntadi</w:t>
      </w:r>
      <w:proofErr w:type="spellEnd"/>
      <w:r w:rsidRPr="00461530">
        <w:rPr>
          <w:rFonts w:ascii="Times New Roman" w:hAnsi="Times New Roman" w:cs="Times New Roman"/>
          <w:sz w:val="24"/>
          <w:szCs w:val="24"/>
        </w:rPr>
        <w:t xml:space="preserve">, I. (2014). </w:t>
      </w:r>
      <w:r w:rsidRPr="00461530">
        <w:rPr>
          <w:rFonts w:ascii="Times New Roman" w:hAnsi="Times New Roman" w:cs="Times New Roman"/>
          <w:i/>
          <w:sz w:val="24"/>
          <w:szCs w:val="24"/>
        </w:rPr>
        <w:t>Improvement of Students Teacher's Competence Through Retooling Learning Organization in Business &amp; Industry</w:t>
      </w:r>
      <w:r w:rsidRPr="00461530">
        <w:rPr>
          <w:rFonts w:ascii="Times New Roman" w:hAnsi="Times New Roman" w:cs="Times New Roman"/>
          <w:sz w:val="24"/>
          <w:szCs w:val="24"/>
        </w:rPr>
        <w:t xml:space="preserve">. Dr. </w:t>
      </w:r>
      <w:proofErr w:type="spellStart"/>
      <w:r w:rsidRPr="00461530">
        <w:rPr>
          <w:rFonts w:ascii="Times New Roman" w:hAnsi="Times New Roman" w:cs="Times New Roman"/>
          <w:sz w:val="24"/>
          <w:szCs w:val="24"/>
        </w:rPr>
        <w:t>Saifullizam</w:t>
      </w:r>
      <w:proofErr w:type="spellEnd"/>
      <w:r w:rsidRPr="00461530">
        <w:rPr>
          <w:rFonts w:ascii="Times New Roman" w:hAnsi="Times New Roman" w:cs="Times New Roman"/>
          <w:sz w:val="24"/>
          <w:szCs w:val="24"/>
        </w:rPr>
        <w:t xml:space="preserve"> Puteh, 360.</w:t>
      </w:r>
    </w:p>
    <w:p w14:paraId="402FFABF" w14:textId="77777777" w:rsidR="007C2D57" w:rsidRPr="002944E9" w:rsidRDefault="007C2D57" w:rsidP="00461530">
      <w:pPr>
        <w:spacing w:line="276" w:lineRule="auto"/>
        <w:ind w:left="720" w:hanging="720"/>
        <w:jc w:val="both"/>
        <w:rPr>
          <w:rFonts w:ascii="Times New Roman" w:hAnsi="Times New Roman" w:cs="Times New Roman"/>
          <w:sz w:val="24"/>
          <w:szCs w:val="24"/>
        </w:rPr>
      </w:pPr>
      <w:r w:rsidRPr="00461530">
        <w:rPr>
          <w:rFonts w:ascii="Times New Roman" w:hAnsi="Times New Roman" w:cs="Times New Roman"/>
          <w:sz w:val="24"/>
          <w:szCs w:val="24"/>
        </w:rPr>
        <w:t xml:space="preserve">Chen, T. T. (2001). Ethics control mechanisms: A comparative observation of Hong Kong companies. </w:t>
      </w:r>
      <w:r w:rsidRPr="00461530">
        <w:rPr>
          <w:rFonts w:ascii="Times New Roman" w:hAnsi="Times New Roman" w:cs="Times New Roman"/>
          <w:i/>
          <w:sz w:val="24"/>
          <w:szCs w:val="24"/>
        </w:rPr>
        <w:t>Journal of Business Ethics, 30, 391-400.</w:t>
      </w:r>
      <w:r w:rsidRPr="00461530">
        <w:rPr>
          <w:rFonts w:ascii="Times New Roman" w:hAnsi="Times New Roman" w:cs="Times New Roman"/>
          <w:sz w:val="24"/>
          <w:szCs w:val="24"/>
        </w:rPr>
        <w:t xml:space="preserve"> </w:t>
      </w:r>
      <w:hyperlink r:id="rId19" w:history="1">
        <w:r w:rsidRPr="00461530">
          <w:rPr>
            <w:rStyle w:val="Hyperlink"/>
            <w:rFonts w:ascii="Times New Roman" w:hAnsi="Times New Roman" w:cs="Times New Roman"/>
            <w:sz w:val="24"/>
            <w:szCs w:val="24"/>
            <w:u w:val="none"/>
          </w:rPr>
          <w:t>https://link.springer.com/article/10.1023/A:1010741324766</w:t>
        </w:r>
      </w:hyperlink>
    </w:p>
    <w:p w14:paraId="0BB341F0" w14:textId="77777777" w:rsidR="007C2D57" w:rsidRPr="00461530" w:rsidRDefault="007C2D57" w:rsidP="00461530">
      <w:pPr>
        <w:spacing w:line="276" w:lineRule="auto"/>
        <w:ind w:left="720" w:hanging="720"/>
        <w:jc w:val="both"/>
        <w:rPr>
          <w:rFonts w:ascii="Times New Roman" w:hAnsi="Times New Roman" w:cs="Times New Roman"/>
          <w:sz w:val="24"/>
          <w:szCs w:val="24"/>
        </w:rPr>
      </w:pPr>
      <w:r w:rsidRPr="00461530">
        <w:rPr>
          <w:rFonts w:ascii="Times New Roman" w:hAnsi="Times New Roman" w:cs="Times New Roman"/>
          <w:sz w:val="24"/>
          <w:szCs w:val="24"/>
        </w:rPr>
        <w:t xml:space="preserve">Chowdhry, Y. A., &amp; Warraich, U. R.(2014w). Relationship of secondary education with Higher Education. </w:t>
      </w:r>
      <w:r w:rsidRPr="00461530">
        <w:rPr>
          <w:rFonts w:ascii="Times New Roman" w:hAnsi="Times New Roman" w:cs="Times New Roman"/>
          <w:i/>
          <w:sz w:val="24"/>
          <w:szCs w:val="24"/>
        </w:rPr>
        <w:t>Lahore, Pakistan; [cited 2014 Oct 13].</w:t>
      </w:r>
      <w:r w:rsidRPr="00461530">
        <w:rPr>
          <w:rFonts w:ascii="Times New Roman" w:hAnsi="Times New Roman" w:cs="Times New Roman"/>
          <w:sz w:val="24"/>
          <w:szCs w:val="24"/>
        </w:rPr>
        <w:t xml:space="preserve"> Available from: http://umt.edu.pk/icobm/proceedings/pdf/Paper21.Pdf. </w:t>
      </w:r>
      <w:hyperlink r:id="rId20" w:history="1">
        <w:r w:rsidRPr="00461530">
          <w:rPr>
            <w:rStyle w:val="Hyperlink"/>
            <w:rFonts w:ascii="Times New Roman" w:hAnsi="Times New Roman" w:cs="Times New Roman"/>
            <w:sz w:val="24"/>
            <w:szCs w:val="24"/>
            <w:u w:val="none"/>
          </w:rPr>
          <w:t>http://umt.edu.pk</w:t>
        </w:r>
      </w:hyperlink>
    </w:p>
    <w:p w14:paraId="76F551C7" w14:textId="77777777" w:rsidR="007C2D57" w:rsidRPr="00461530" w:rsidRDefault="007C2D57" w:rsidP="00461530">
      <w:pPr>
        <w:spacing w:line="276" w:lineRule="auto"/>
        <w:ind w:left="720" w:hanging="720"/>
        <w:jc w:val="both"/>
        <w:rPr>
          <w:rFonts w:ascii="Times New Roman" w:hAnsi="Times New Roman" w:cs="Times New Roman"/>
          <w:sz w:val="24"/>
          <w:szCs w:val="24"/>
        </w:rPr>
      </w:pPr>
      <w:proofErr w:type="spellStart"/>
      <w:r w:rsidRPr="00461530">
        <w:rPr>
          <w:rFonts w:ascii="Times New Roman" w:hAnsi="Times New Roman" w:cs="Times New Roman"/>
          <w:sz w:val="24"/>
          <w:szCs w:val="24"/>
        </w:rPr>
        <w:t>Corengia</w:t>
      </w:r>
      <w:proofErr w:type="spellEnd"/>
      <w:r w:rsidRPr="00461530">
        <w:rPr>
          <w:rFonts w:ascii="Times New Roman" w:hAnsi="Times New Roman" w:cs="Times New Roman"/>
          <w:sz w:val="24"/>
          <w:szCs w:val="24"/>
        </w:rPr>
        <w:t xml:space="preserve">, Á. V., Pita, M., </w:t>
      </w:r>
      <w:proofErr w:type="spellStart"/>
      <w:r w:rsidRPr="00461530">
        <w:rPr>
          <w:rFonts w:ascii="Times New Roman" w:hAnsi="Times New Roman" w:cs="Times New Roman"/>
          <w:sz w:val="24"/>
          <w:szCs w:val="24"/>
        </w:rPr>
        <w:t>Mesurado</w:t>
      </w:r>
      <w:proofErr w:type="spellEnd"/>
      <w:r w:rsidRPr="00461530">
        <w:rPr>
          <w:rFonts w:ascii="Times New Roman" w:hAnsi="Times New Roman" w:cs="Times New Roman"/>
          <w:sz w:val="24"/>
          <w:szCs w:val="24"/>
        </w:rPr>
        <w:t xml:space="preserve">, M. B., &amp; Centeno, A. (2013). </w:t>
      </w:r>
      <w:r w:rsidRPr="00461530">
        <w:rPr>
          <w:rFonts w:ascii="Times New Roman" w:hAnsi="Times New Roman" w:cs="Times New Roman"/>
          <w:i/>
          <w:sz w:val="24"/>
          <w:szCs w:val="24"/>
        </w:rPr>
        <w:t>Predicting academic performance in undergraduate students.</w:t>
      </w:r>
      <w:r w:rsidRPr="00461530">
        <w:rPr>
          <w:rFonts w:ascii="Times New Roman" w:hAnsi="Times New Roman" w:cs="Times New Roman"/>
          <w:sz w:val="24"/>
          <w:szCs w:val="24"/>
        </w:rPr>
        <w:t xml:space="preserve"> https://ri.conicet.gov.ar/handle/11336/19376</w:t>
      </w:r>
    </w:p>
    <w:p w14:paraId="3C4F24F9" w14:textId="77777777" w:rsidR="007C2D57" w:rsidRPr="00461530" w:rsidRDefault="007C2D57" w:rsidP="00461530">
      <w:pPr>
        <w:spacing w:line="276" w:lineRule="auto"/>
        <w:ind w:left="720" w:hanging="720"/>
        <w:jc w:val="both"/>
        <w:rPr>
          <w:rFonts w:ascii="Times New Roman" w:hAnsi="Times New Roman" w:cs="Times New Roman"/>
          <w:sz w:val="24"/>
          <w:szCs w:val="24"/>
        </w:rPr>
      </w:pPr>
      <w:r w:rsidRPr="00461530">
        <w:rPr>
          <w:rFonts w:ascii="Times New Roman" w:hAnsi="Times New Roman" w:cs="Times New Roman"/>
          <w:sz w:val="24"/>
          <w:szCs w:val="24"/>
        </w:rPr>
        <w:t xml:space="preserve">Eunice Atieno </w:t>
      </w:r>
      <w:proofErr w:type="spellStart"/>
      <w:r w:rsidRPr="00461530">
        <w:rPr>
          <w:rFonts w:ascii="Times New Roman" w:hAnsi="Times New Roman" w:cs="Times New Roman"/>
          <w:sz w:val="24"/>
          <w:szCs w:val="24"/>
        </w:rPr>
        <w:t>Agingu</w:t>
      </w:r>
      <w:proofErr w:type="spellEnd"/>
      <w:r w:rsidRPr="00461530">
        <w:rPr>
          <w:rFonts w:ascii="Times New Roman" w:hAnsi="Times New Roman" w:cs="Times New Roman"/>
          <w:sz w:val="24"/>
          <w:szCs w:val="24"/>
        </w:rPr>
        <w:t xml:space="preserve">. (2018). Validity of primary school examination as a predictor of secondary school examination score among public secondary school students Kenya. </w:t>
      </w:r>
      <w:r w:rsidRPr="00461530">
        <w:rPr>
          <w:rFonts w:ascii="Times New Roman" w:hAnsi="Times New Roman" w:cs="Times New Roman"/>
          <w:i/>
          <w:sz w:val="24"/>
          <w:szCs w:val="24"/>
        </w:rPr>
        <w:t>International journal of research-</w:t>
      </w:r>
      <w:proofErr w:type="spellStart"/>
      <w:r w:rsidRPr="00461530">
        <w:rPr>
          <w:rFonts w:ascii="Times New Roman" w:hAnsi="Times New Roman" w:cs="Times New Roman"/>
          <w:i/>
          <w:sz w:val="24"/>
          <w:szCs w:val="24"/>
        </w:rPr>
        <w:t>Granthaalaya</w:t>
      </w:r>
      <w:proofErr w:type="spellEnd"/>
      <w:r w:rsidRPr="00461530">
        <w:rPr>
          <w:rFonts w:ascii="Times New Roman" w:hAnsi="Times New Roman" w:cs="Times New Roman"/>
          <w:i/>
          <w:sz w:val="24"/>
          <w:szCs w:val="24"/>
        </w:rPr>
        <w:t>.</w:t>
      </w:r>
      <w:r w:rsidRPr="00461530">
        <w:rPr>
          <w:rFonts w:ascii="Times New Roman" w:hAnsi="Times New Roman" w:cs="Times New Roman"/>
          <w:sz w:val="24"/>
          <w:szCs w:val="24"/>
        </w:rPr>
        <w:t xml:space="preserve"> 6(4), 80-94. doi.org/10.5281/zenodo.1241461. </w:t>
      </w:r>
      <w:hyperlink r:id="rId21" w:history="1">
        <w:r w:rsidRPr="00461530">
          <w:rPr>
            <w:rStyle w:val="Hyperlink"/>
            <w:rFonts w:ascii="Times New Roman" w:hAnsi="Times New Roman" w:cs="Times New Roman"/>
            <w:sz w:val="24"/>
            <w:szCs w:val="24"/>
            <w:u w:val="none"/>
          </w:rPr>
          <w:t>http://ir.jooust.ac.ke:8080/xmlui/handle/123456789/13039</w:t>
        </w:r>
      </w:hyperlink>
    </w:p>
    <w:p w14:paraId="434A2AAA" w14:textId="77777777" w:rsidR="007C2D57" w:rsidRPr="00461530" w:rsidRDefault="007C2D57" w:rsidP="00461530">
      <w:pPr>
        <w:spacing w:line="276" w:lineRule="auto"/>
        <w:ind w:left="720" w:hanging="720"/>
        <w:jc w:val="both"/>
        <w:rPr>
          <w:rFonts w:ascii="Times New Roman" w:hAnsi="Times New Roman" w:cs="Times New Roman"/>
          <w:sz w:val="24"/>
          <w:szCs w:val="24"/>
        </w:rPr>
      </w:pPr>
      <w:r w:rsidRPr="00461530">
        <w:rPr>
          <w:rFonts w:ascii="Times New Roman" w:hAnsi="Times New Roman" w:cs="Times New Roman"/>
          <w:sz w:val="24"/>
          <w:szCs w:val="24"/>
        </w:rPr>
        <w:t xml:space="preserve">Feyisa, M., &amp; </w:t>
      </w:r>
      <w:proofErr w:type="spellStart"/>
      <w:r w:rsidRPr="00461530">
        <w:rPr>
          <w:rFonts w:ascii="Times New Roman" w:hAnsi="Times New Roman" w:cs="Times New Roman"/>
          <w:sz w:val="24"/>
          <w:szCs w:val="24"/>
        </w:rPr>
        <w:t>Ebessa</w:t>
      </w:r>
      <w:proofErr w:type="spellEnd"/>
      <w:r w:rsidRPr="00461530">
        <w:rPr>
          <w:rFonts w:ascii="Times New Roman" w:hAnsi="Times New Roman" w:cs="Times New Roman"/>
          <w:sz w:val="24"/>
          <w:szCs w:val="24"/>
        </w:rPr>
        <w:t xml:space="preserve">, A. D. (2021). The carryover effects of college dishonesty on professional workplace dishonest behaviors: </w:t>
      </w:r>
      <w:r w:rsidRPr="00461530">
        <w:rPr>
          <w:rFonts w:ascii="Times New Roman" w:hAnsi="Times New Roman" w:cs="Times New Roman"/>
          <w:i/>
          <w:sz w:val="24"/>
          <w:szCs w:val="24"/>
        </w:rPr>
        <w:t>A systematic review. Cogent Education</w:t>
      </w:r>
      <w:r w:rsidRPr="00461530">
        <w:rPr>
          <w:rFonts w:ascii="Times New Roman" w:hAnsi="Times New Roman" w:cs="Times New Roman"/>
          <w:sz w:val="24"/>
          <w:szCs w:val="24"/>
        </w:rPr>
        <w:t xml:space="preserve">, 8(1), 1935408. </w:t>
      </w:r>
      <w:hyperlink r:id="rId22" w:history="1">
        <w:r w:rsidRPr="00461530">
          <w:rPr>
            <w:rStyle w:val="Hyperlink"/>
            <w:rFonts w:ascii="Times New Roman" w:hAnsi="Times New Roman" w:cs="Times New Roman"/>
            <w:sz w:val="24"/>
            <w:szCs w:val="24"/>
            <w:u w:val="none"/>
          </w:rPr>
          <w:t>https://doi.org/10.1080/2331186X.2021.1935408</w:t>
        </w:r>
      </w:hyperlink>
    </w:p>
    <w:p w14:paraId="0F539D2B" w14:textId="77777777" w:rsidR="007C2D57" w:rsidRPr="00461530" w:rsidRDefault="007C2D57" w:rsidP="00461530">
      <w:pPr>
        <w:spacing w:line="276" w:lineRule="auto"/>
        <w:ind w:left="720" w:hanging="720"/>
        <w:jc w:val="both"/>
        <w:rPr>
          <w:rFonts w:ascii="Times New Roman" w:hAnsi="Times New Roman" w:cs="Times New Roman"/>
          <w:sz w:val="24"/>
          <w:szCs w:val="24"/>
        </w:rPr>
      </w:pPr>
      <w:r w:rsidRPr="00461530">
        <w:rPr>
          <w:rFonts w:ascii="Times New Roman" w:hAnsi="Times New Roman" w:cs="Times New Roman"/>
          <w:sz w:val="24"/>
          <w:szCs w:val="24"/>
        </w:rPr>
        <w:t xml:space="preserve">Forehand, M. (2010). Bloom’s taxonomy. Emerging perspectives on learning, teaching, and technology, 41(4), 47-56. </w:t>
      </w:r>
      <w:hyperlink r:id="rId23" w:history="1">
        <w:r w:rsidRPr="00461530">
          <w:rPr>
            <w:rStyle w:val="Hyperlink"/>
            <w:rFonts w:ascii="Times New Roman" w:hAnsi="Times New Roman" w:cs="Times New Roman"/>
            <w:sz w:val="24"/>
            <w:szCs w:val="24"/>
            <w:u w:val="none"/>
          </w:rPr>
          <w:t>https://www.d41.org/cms/lib/IL01904672/Centricity/Domain/422/BloomsTaxonomy.pdf</w:t>
        </w:r>
      </w:hyperlink>
    </w:p>
    <w:p w14:paraId="15C13332" w14:textId="77777777" w:rsidR="007C2D57" w:rsidRPr="00461530" w:rsidRDefault="007C2D57" w:rsidP="00461530">
      <w:pPr>
        <w:spacing w:line="276" w:lineRule="auto"/>
        <w:ind w:left="720" w:hanging="720"/>
        <w:jc w:val="both"/>
        <w:rPr>
          <w:rFonts w:ascii="Times New Roman" w:hAnsi="Times New Roman" w:cs="Times New Roman"/>
          <w:sz w:val="24"/>
          <w:szCs w:val="24"/>
        </w:rPr>
      </w:pPr>
      <w:r w:rsidRPr="00461530">
        <w:rPr>
          <w:rFonts w:ascii="Times New Roman" w:hAnsi="Times New Roman" w:cs="Times New Roman"/>
          <w:sz w:val="24"/>
          <w:szCs w:val="24"/>
        </w:rPr>
        <w:t xml:space="preserve">FTA. (2014). </w:t>
      </w:r>
      <w:r w:rsidRPr="00461530">
        <w:rPr>
          <w:rFonts w:ascii="Times New Roman" w:hAnsi="Times New Roman" w:cs="Times New Roman"/>
          <w:i/>
          <w:sz w:val="24"/>
          <w:szCs w:val="24"/>
        </w:rPr>
        <w:t>Occupational assessment and certification directive</w:t>
      </w:r>
      <w:r w:rsidRPr="00461530">
        <w:rPr>
          <w:rFonts w:ascii="Times New Roman" w:hAnsi="Times New Roman" w:cs="Times New Roman"/>
          <w:sz w:val="24"/>
          <w:szCs w:val="24"/>
        </w:rPr>
        <w:t>, Federal Democratic Republic of Ethiopia, Federal TVET Agency. [https://www.academia.edu/35492129/]</w:t>
      </w:r>
    </w:p>
    <w:p w14:paraId="2FD5BDF6" w14:textId="77777777" w:rsidR="007C2D57" w:rsidRPr="00461530" w:rsidRDefault="007C2D57" w:rsidP="00461530">
      <w:pPr>
        <w:spacing w:line="276" w:lineRule="auto"/>
        <w:ind w:left="720" w:hanging="720"/>
        <w:jc w:val="both"/>
        <w:rPr>
          <w:rFonts w:ascii="Times New Roman" w:hAnsi="Times New Roman" w:cs="Times New Roman"/>
          <w:sz w:val="24"/>
          <w:szCs w:val="24"/>
        </w:rPr>
      </w:pPr>
      <w:r w:rsidRPr="00461530">
        <w:rPr>
          <w:rFonts w:ascii="Times New Roman" w:hAnsi="Times New Roman" w:cs="Times New Roman"/>
          <w:sz w:val="24"/>
          <w:szCs w:val="24"/>
        </w:rPr>
        <w:t xml:space="preserve">Geiser, S &amp; Santelices, M, V. (2007). Validity of high-school grades in predicting student success beyond the freshman year: High-School Record vs. Standardized Tests as Indicators of Four-year College Outcomes. </w:t>
      </w:r>
      <w:r w:rsidRPr="00461530">
        <w:rPr>
          <w:rFonts w:ascii="Times New Roman" w:hAnsi="Times New Roman" w:cs="Times New Roman"/>
          <w:i/>
          <w:sz w:val="24"/>
          <w:szCs w:val="24"/>
        </w:rPr>
        <w:t>Research &amp; occasional paper series: CSHE.6.07 University of California, Berkeley</w:t>
      </w:r>
      <w:r w:rsidRPr="00461530">
        <w:rPr>
          <w:rFonts w:ascii="Times New Roman" w:hAnsi="Times New Roman" w:cs="Times New Roman"/>
          <w:sz w:val="24"/>
          <w:szCs w:val="24"/>
        </w:rPr>
        <w:t xml:space="preserve"> </w:t>
      </w:r>
      <w:hyperlink r:id="rId24" w:history="1">
        <w:r w:rsidRPr="00461530">
          <w:rPr>
            <w:rStyle w:val="Hyperlink"/>
            <w:rFonts w:ascii="Times New Roman" w:hAnsi="Times New Roman" w:cs="Times New Roman"/>
            <w:sz w:val="24"/>
            <w:szCs w:val="24"/>
            <w:u w:val="none"/>
          </w:rPr>
          <w:t>http://cshe.berkeley.edu/</w:t>
        </w:r>
      </w:hyperlink>
    </w:p>
    <w:p w14:paraId="35E55412" w14:textId="77777777" w:rsidR="007C2D57" w:rsidRPr="00461530" w:rsidRDefault="007C2D57" w:rsidP="00461530">
      <w:pPr>
        <w:spacing w:line="276" w:lineRule="auto"/>
        <w:ind w:left="720" w:hanging="720"/>
        <w:jc w:val="both"/>
        <w:rPr>
          <w:rFonts w:ascii="Times New Roman" w:hAnsi="Times New Roman" w:cs="Times New Roman"/>
          <w:sz w:val="24"/>
          <w:szCs w:val="24"/>
        </w:rPr>
      </w:pPr>
      <w:r w:rsidRPr="00461530">
        <w:rPr>
          <w:rFonts w:ascii="Times New Roman" w:hAnsi="Times New Roman" w:cs="Times New Roman"/>
          <w:sz w:val="24"/>
          <w:szCs w:val="24"/>
        </w:rPr>
        <w:t xml:space="preserve">Guilford, J. P., Michael, W. B., Fruchter, B., &amp; Zimmerman, W. S. (1957). The description of spatial-visualization abilities. </w:t>
      </w:r>
      <w:r w:rsidRPr="00461530">
        <w:rPr>
          <w:rFonts w:ascii="Times New Roman" w:hAnsi="Times New Roman" w:cs="Times New Roman"/>
          <w:i/>
          <w:sz w:val="24"/>
          <w:szCs w:val="24"/>
        </w:rPr>
        <w:t>Educational and Psychological Measurement, 17(2), 185-199.</w:t>
      </w:r>
      <w:r w:rsidRPr="00461530">
        <w:rPr>
          <w:rFonts w:ascii="Times New Roman" w:hAnsi="Times New Roman" w:cs="Times New Roman"/>
          <w:sz w:val="24"/>
          <w:szCs w:val="24"/>
        </w:rPr>
        <w:t xml:space="preserve"> </w:t>
      </w:r>
      <w:hyperlink r:id="rId25" w:history="1">
        <w:r w:rsidRPr="00461530">
          <w:rPr>
            <w:rStyle w:val="Hyperlink"/>
            <w:rFonts w:ascii="Times New Roman" w:hAnsi="Times New Roman" w:cs="Times New Roman"/>
            <w:sz w:val="24"/>
            <w:szCs w:val="24"/>
            <w:u w:val="none"/>
          </w:rPr>
          <w:t>https://doi.org/10.1177/001316445701700202</w:t>
        </w:r>
      </w:hyperlink>
    </w:p>
    <w:p w14:paraId="39D6F7E1" w14:textId="77777777" w:rsidR="007C2D57" w:rsidRPr="00461530" w:rsidRDefault="007C2D57" w:rsidP="00461530">
      <w:pPr>
        <w:spacing w:line="276" w:lineRule="auto"/>
        <w:ind w:left="720" w:hanging="720"/>
        <w:jc w:val="both"/>
        <w:rPr>
          <w:rFonts w:ascii="Times New Roman" w:hAnsi="Times New Roman" w:cs="Times New Roman"/>
          <w:sz w:val="24"/>
          <w:szCs w:val="24"/>
        </w:rPr>
      </w:pPr>
      <w:r w:rsidRPr="00461530">
        <w:rPr>
          <w:rFonts w:ascii="Times New Roman" w:hAnsi="Times New Roman" w:cs="Times New Roman"/>
          <w:sz w:val="24"/>
          <w:szCs w:val="24"/>
        </w:rPr>
        <w:t xml:space="preserve">Gulikers, J., Lans, T., &amp; </w:t>
      </w:r>
      <w:proofErr w:type="spellStart"/>
      <w:r w:rsidRPr="00461530">
        <w:rPr>
          <w:rFonts w:ascii="Times New Roman" w:hAnsi="Times New Roman" w:cs="Times New Roman"/>
          <w:sz w:val="24"/>
          <w:szCs w:val="24"/>
        </w:rPr>
        <w:t>Batterink</w:t>
      </w:r>
      <w:proofErr w:type="spellEnd"/>
      <w:r w:rsidRPr="00461530">
        <w:rPr>
          <w:rFonts w:ascii="Times New Roman" w:hAnsi="Times New Roman" w:cs="Times New Roman"/>
          <w:sz w:val="24"/>
          <w:szCs w:val="24"/>
        </w:rPr>
        <w:t xml:space="preserve">, M. (2010). Moving beyond traditional measures of entrepreneurial intentions in a study </w:t>
      </w:r>
      <w:r w:rsidRPr="00461530">
        <w:rPr>
          <w:rFonts w:ascii="Times New Roman" w:hAnsi="Times New Roman" w:cs="Times New Roman"/>
          <w:sz w:val="24"/>
          <w:szCs w:val="24"/>
        </w:rPr>
        <w:t xml:space="preserve">among life‐sciences students in the Netherlands. </w:t>
      </w:r>
      <w:r w:rsidRPr="00461530">
        <w:rPr>
          <w:rFonts w:ascii="Times New Roman" w:hAnsi="Times New Roman" w:cs="Times New Roman"/>
          <w:i/>
          <w:sz w:val="24"/>
          <w:szCs w:val="24"/>
        </w:rPr>
        <w:t>Research in Post-Compulsory Education,</w:t>
      </w:r>
      <w:r w:rsidRPr="00461530">
        <w:rPr>
          <w:rFonts w:ascii="Times New Roman" w:hAnsi="Times New Roman" w:cs="Times New Roman"/>
          <w:sz w:val="24"/>
          <w:szCs w:val="24"/>
        </w:rPr>
        <w:t xml:space="preserve"> 15(3), 259-274. </w:t>
      </w:r>
      <w:hyperlink r:id="rId26" w:history="1">
        <w:r w:rsidRPr="00461530">
          <w:rPr>
            <w:rStyle w:val="Hyperlink"/>
            <w:rFonts w:ascii="Times New Roman" w:hAnsi="Times New Roman" w:cs="Times New Roman"/>
            <w:sz w:val="24"/>
            <w:szCs w:val="24"/>
            <w:u w:val="none"/>
          </w:rPr>
          <w:t>https://doi.org/10.1080/13596748.2010.503997</w:t>
        </w:r>
      </w:hyperlink>
    </w:p>
    <w:p w14:paraId="06F03534" w14:textId="77777777" w:rsidR="007C2D57" w:rsidRPr="00461530" w:rsidRDefault="007C2D57" w:rsidP="00461530">
      <w:pPr>
        <w:spacing w:line="276" w:lineRule="auto"/>
        <w:ind w:left="720" w:hanging="720"/>
        <w:jc w:val="both"/>
        <w:rPr>
          <w:rFonts w:ascii="Times New Roman" w:hAnsi="Times New Roman" w:cs="Times New Roman"/>
          <w:sz w:val="24"/>
          <w:szCs w:val="24"/>
        </w:rPr>
      </w:pPr>
      <w:r w:rsidRPr="00461530">
        <w:rPr>
          <w:rFonts w:ascii="Times New Roman" w:hAnsi="Times New Roman" w:cs="Times New Roman"/>
          <w:sz w:val="24"/>
          <w:szCs w:val="24"/>
        </w:rPr>
        <w:t xml:space="preserve"> Hawa, Y. M. (2023). Validity of Pre-college Students’ English School-Based Assessment in Predicting Achievement in University Entrance Examination. </w:t>
      </w:r>
      <w:r w:rsidRPr="00461530">
        <w:rPr>
          <w:rFonts w:ascii="Times New Roman" w:hAnsi="Times New Roman" w:cs="Times New Roman"/>
          <w:i/>
          <w:sz w:val="24"/>
          <w:szCs w:val="24"/>
        </w:rPr>
        <w:t>The Ethiopian Journal of Education, 43(2), 37-</w:t>
      </w:r>
      <w:r w:rsidRPr="00461530">
        <w:rPr>
          <w:rFonts w:ascii="Times New Roman" w:hAnsi="Times New Roman" w:cs="Times New Roman"/>
          <w:sz w:val="24"/>
          <w:szCs w:val="24"/>
        </w:rPr>
        <w:t xml:space="preserve">62. </w:t>
      </w:r>
      <w:hyperlink r:id="rId27" w:history="1">
        <w:r w:rsidRPr="00461530">
          <w:rPr>
            <w:rStyle w:val="Hyperlink"/>
            <w:rFonts w:ascii="Times New Roman" w:hAnsi="Times New Roman" w:cs="Times New Roman"/>
            <w:sz w:val="24"/>
            <w:szCs w:val="24"/>
            <w:u w:val="none"/>
          </w:rPr>
          <w:t>http://213.55.95.79/index.php/EJE/article/view/9471/7854</w:t>
        </w:r>
      </w:hyperlink>
    </w:p>
    <w:p w14:paraId="4835C3C9" w14:textId="77777777" w:rsidR="007C2D57" w:rsidRPr="00461530" w:rsidRDefault="007C2D57" w:rsidP="00461530">
      <w:pPr>
        <w:spacing w:line="276" w:lineRule="auto"/>
        <w:ind w:left="720" w:hanging="720"/>
        <w:jc w:val="both"/>
        <w:rPr>
          <w:rFonts w:ascii="Times New Roman" w:hAnsi="Times New Roman" w:cs="Times New Roman"/>
          <w:sz w:val="24"/>
          <w:szCs w:val="24"/>
        </w:rPr>
      </w:pPr>
      <w:r w:rsidRPr="00461530">
        <w:rPr>
          <w:rFonts w:ascii="Times New Roman" w:hAnsi="Times New Roman" w:cs="Times New Roman"/>
          <w:sz w:val="24"/>
          <w:szCs w:val="24"/>
        </w:rPr>
        <w:t xml:space="preserve">Hinkle, D. E., Wiersma, W., &amp; Jurs, S. G. (2003). Applied Statistics for the Behavioral Sciences (Vol. 663). </w:t>
      </w:r>
      <w:r w:rsidRPr="00461530">
        <w:rPr>
          <w:rFonts w:ascii="Times New Roman" w:hAnsi="Times New Roman" w:cs="Times New Roman"/>
          <w:i/>
          <w:sz w:val="24"/>
          <w:szCs w:val="24"/>
        </w:rPr>
        <w:t>Houghton Mifflin College Division</w:t>
      </w:r>
      <w:r w:rsidRPr="00461530">
        <w:rPr>
          <w:rFonts w:ascii="Times New Roman" w:hAnsi="Times New Roman" w:cs="Times New Roman"/>
          <w:sz w:val="24"/>
          <w:szCs w:val="24"/>
        </w:rPr>
        <w:t xml:space="preserve">. </w:t>
      </w:r>
      <w:hyperlink r:id="rId28" w:history="1">
        <w:r w:rsidRPr="00461530">
          <w:rPr>
            <w:rStyle w:val="Hyperlink"/>
            <w:rFonts w:ascii="Times New Roman" w:hAnsi="Times New Roman" w:cs="Times New Roman"/>
            <w:sz w:val="24"/>
            <w:szCs w:val="24"/>
            <w:u w:val="none"/>
          </w:rPr>
          <w:t>https://library.wur.nl/WebQuery/titel/1944963</w:t>
        </w:r>
      </w:hyperlink>
    </w:p>
    <w:p w14:paraId="51A4E330" w14:textId="77777777" w:rsidR="007C2D57" w:rsidRPr="00461530" w:rsidRDefault="007C2D57" w:rsidP="00461530">
      <w:pPr>
        <w:spacing w:line="276" w:lineRule="auto"/>
        <w:ind w:left="720" w:hanging="720"/>
        <w:jc w:val="both"/>
        <w:rPr>
          <w:rFonts w:ascii="Times New Roman" w:hAnsi="Times New Roman" w:cs="Times New Roman"/>
          <w:sz w:val="24"/>
          <w:szCs w:val="24"/>
        </w:rPr>
      </w:pPr>
      <w:r w:rsidRPr="00461530">
        <w:rPr>
          <w:rFonts w:ascii="Times New Roman" w:hAnsi="Times New Roman" w:cs="Times New Roman"/>
          <w:sz w:val="24"/>
          <w:szCs w:val="24"/>
        </w:rPr>
        <w:t xml:space="preserve">Huot, B. (1990). Reliability, validity, and holistic scoring: </w:t>
      </w:r>
      <w:r w:rsidRPr="00461530">
        <w:rPr>
          <w:rFonts w:ascii="Times New Roman" w:hAnsi="Times New Roman" w:cs="Times New Roman"/>
          <w:i/>
          <w:sz w:val="24"/>
          <w:szCs w:val="24"/>
        </w:rPr>
        <w:t xml:space="preserve">What we know and what we need to know. College Composition and Communication, </w:t>
      </w:r>
      <w:r w:rsidRPr="00461530">
        <w:rPr>
          <w:rFonts w:ascii="Times New Roman" w:hAnsi="Times New Roman" w:cs="Times New Roman"/>
          <w:sz w:val="24"/>
          <w:szCs w:val="24"/>
        </w:rPr>
        <w:t xml:space="preserve">41(2), 201-213. </w:t>
      </w:r>
      <w:hyperlink r:id="rId29" w:history="1">
        <w:r w:rsidRPr="00461530">
          <w:rPr>
            <w:rStyle w:val="Hyperlink"/>
            <w:rFonts w:ascii="Times New Roman" w:hAnsi="Times New Roman" w:cs="Times New Roman"/>
            <w:sz w:val="24"/>
            <w:szCs w:val="24"/>
            <w:u w:val="none"/>
          </w:rPr>
          <w:t>https://doi.org/10.2307/358160</w:t>
        </w:r>
      </w:hyperlink>
    </w:p>
    <w:p w14:paraId="3DAC9B3A" w14:textId="77777777" w:rsidR="007C2D57" w:rsidRPr="00461530" w:rsidRDefault="007C2D57" w:rsidP="00461530">
      <w:pPr>
        <w:spacing w:line="276" w:lineRule="auto"/>
        <w:ind w:left="720" w:hanging="720"/>
        <w:jc w:val="both"/>
        <w:rPr>
          <w:rFonts w:ascii="Times New Roman" w:hAnsi="Times New Roman" w:cs="Times New Roman"/>
          <w:sz w:val="24"/>
          <w:szCs w:val="24"/>
        </w:rPr>
      </w:pPr>
      <w:r w:rsidRPr="00461530">
        <w:rPr>
          <w:rFonts w:ascii="Times New Roman" w:hAnsi="Times New Roman" w:cs="Times New Roman"/>
          <w:sz w:val="24"/>
          <w:szCs w:val="24"/>
        </w:rPr>
        <w:t xml:space="preserve">Kartika, R., &amp; Suranto. (2018). Exploring the relationship between school and national-based tests. Advances in Social Science, Education, and Humanities Research (ASSEHR), 3306th International Conference on Educational Research and Innovation. </w:t>
      </w:r>
      <w:hyperlink r:id="rId30" w:history="1">
        <w:r w:rsidRPr="00461530">
          <w:rPr>
            <w:rStyle w:val="Hyperlink"/>
            <w:rFonts w:ascii="Times New Roman" w:hAnsi="Times New Roman" w:cs="Times New Roman"/>
            <w:sz w:val="24"/>
            <w:szCs w:val="24"/>
            <w:u w:val="none"/>
          </w:rPr>
          <w:t>https://doi.org/10.2991/iceri-18.2019.47</w:t>
        </w:r>
      </w:hyperlink>
    </w:p>
    <w:p w14:paraId="21CBE467" w14:textId="77777777" w:rsidR="007C2D57" w:rsidRPr="00461530" w:rsidRDefault="007C2D57" w:rsidP="00461530">
      <w:pPr>
        <w:spacing w:line="276" w:lineRule="auto"/>
        <w:ind w:left="720" w:hanging="720"/>
        <w:jc w:val="both"/>
        <w:rPr>
          <w:rFonts w:ascii="Times New Roman" w:hAnsi="Times New Roman" w:cs="Times New Roman"/>
          <w:sz w:val="24"/>
          <w:szCs w:val="24"/>
        </w:rPr>
      </w:pPr>
      <w:r w:rsidRPr="00461530">
        <w:rPr>
          <w:rFonts w:ascii="Times New Roman" w:hAnsi="Times New Roman" w:cs="Times New Roman"/>
          <w:sz w:val="24"/>
          <w:szCs w:val="24"/>
        </w:rPr>
        <w:t xml:space="preserve">Kassahun Hussien &amp; Teshome </w:t>
      </w:r>
      <w:proofErr w:type="spellStart"/>
      <w:r w:rsidRPr="00461530">
        <w:rPr>
          <w:rFonts w:ascii="Times New Roman" w:hAnsi="Times New Roman" w:cs="Times New Roman"/>
          <w:sz w:val="24"/>
          <w:szCs w:val="24"/>
        </w:rPr>
        <w:t>Nigatie</w:t>
      </w:r>
      <w:proofErr w:type="spellEnd"/>
      <w:r w:rsidRPr="00461530">
        <w:rPr>
          <w:rFonts w:ascii="Times New Roman" w:hAnsi="Times New Roman" w:cs="Times New Roman"/>
          <w:sz w:val="24"/>
          <w:szCs w:val="24"/>
        </w:rPr>
        <w:t xml:space="preserve">. (2021). Assessment of Instructional Objectives in Teacher Made Examinations at </w:t>
      </w:r>
      <w:proofErr w:type="spellStart"/>
      <w:r w:rsidRPr="00461530">
        <w:rPr>
          <w:rFonts w:ascii="Times New Roman" w:hAnsi="Times New Roman" w:cs="Times New Roman"/>
          <w:sz w:val="24"/>
          <w:szCs w:val="24"/>
        </w:rPr>
        <w:t>Woldia</w:t>
      </w:r>
      <w:proofErr w:type="spellEnd"/>
      <w:r w:rsidRPr="00461530">
        <w:rPr>
          <w:rFonts w:ascii="Times New Roman" w:hAnsi="Times New Roman" w:cs="Times New Roman"/>
          <w:sz w:val="24"/>
          <w:szCs w:val="24"/>
        </w:rPr>
        <w:t xml:space="preserve"> College of Teachers Education. </w:t>
      </w:r>
      <w:r w:rsidRPr="00461530">
        <w:rPr>
          <w:rFonts w:ascii="Times New Roman" w:hAnsi="Times New Roman" w:cs="Times New Roman"/>
          <w:i/>
          <w:sz w:val="24"/>
          <w:szCs w:val="24"/>
        </w:rPr>
        <w:t>Abyssinia Journal of Business and Social Sciences, 6(1)</w:t>
      </w:r>
      <w:r w:rsidRPr="00461530">
        <w:rPr>
          <w:rFonts w:ascii="Times New Roman" w:hAnsi="Times New Roman" w:cs="Times New Roman"/>
          <w:sz w:val="24"/>
          <w:szCs w:val="24"/>
        </w:rPr>
        <w:t xml:space="preserve">. </w:t>
      </w:r>
      <w:hyperlink r:id="rId31" w:history="1">
        <w:r w:rsidRPr="00461530">
          <w:rPr>
            <w:rStyle w:val="Hyperlink"/>
            <w:rFonts w:ascii="Times New Roman" w:hAnsi="Times New Roman" w:cs="Times New Roman"/>
            <w:sz w:val="24"/>
            <w:szCs w:val="24"/>
            <w:u w:val="none"/>
          </w:rPr>
          <w:t>https://journals.wu.edu.et</w:t>
        </w:r>
      </w:hyperlink>
    </w:p>
    <w:p w14:paraId="2605FF36" w14:textId="77777777" w:rsidR="007C2D57" w:rsidRPr="00461530" w:rsidRDefault="007C2D57" w:rsidP="00461530">
      <w:pPr>
        <w:spacing w:line="276" w:lineRule="auto"/>
        <w:ind w:left="720" w:hanging="720"/>
        <w:jc w:val="both"/>
        <w:rPr>
          <w:rFonts w:ascii="Times New Roman" w:hAnsi="Times New Roman" w:cs="Times New Roman"/>
          <w:sz w:val="24"/>
          <w:szCs w:val="24"/>
        </w:rPr>
      </w:pPr>
      <w:r w:rsidRPr="00461530">
        <w:rPr>
          <w:rFonts w:ascii="Times New Roman" w:hAnsi="Times New Roman" w:cs="Times New Roman"/>
          <w:sz w:val="24"/>
          <w:szCs w:val="24"/>
        </w:rPr>
        <w:lastRenderedPageBreak/>
        <w:t xml:space="preserve"> Kennet-Cohen, T., </w:t>
      </w:r>
      <w:proofErr w:type="spellStart"/>
      <w:r w:rsidRPr="00461530">
        <w:rPr>
          <w:rFonts w:ascii="Times New Roman" w:hAnsi="Times New Roman" w:cs="Times New Roman"/>
          <w:sz w:val="24"/>
          <w:szCs w:val="24"/>
        </w:rPr>
        <w:t>Turvall</w:t>
      </w:r>
      <w:proofErr w:type="spellEnd"/>
      <w:r w:rsidRPr="00461530">
        <w:rPr>
          <w:rFonts w:ascii="Times New Roman" w:hAnsi="Times New Roman" w:cs="Times New Roman"/>
          <w:sz w:val="24"/>
          <w:szCs w:val="24"/>
        </w:rPr>
        <w:t xml:space="preserve">, E., Saar, Y., &amp; Oren, C. (2016). The predictive validity of a two-step selection process for medical schools. </w:t>
      </w:r>
      <w:r w:rsidRPr="00461530">
        <w:rPr>
          <w:rFonts w:ascii="Times New Roman" w:hAnsi="Times New Roman" w:cs="Times New Roman"/>
          <w:i/>
          <w:sz w:val="24"/>
          <w:szCs w:val="24"/>
        </w:rPr>
        <w:t>Journal of Biomedical Education, 2016</w:t>
      </w:r>
      <w:r w:rsidRPr="00461530">
        <w:rPr>
          <w:rFonts w:ascii="Times New Roman" w:hAnsi="Times New Roman" w:cs="Times New Roman"/>
          <w:sz w:val="24"/>
          <w:szCs w:val="24"/>
        </w:rPr>
        <w:t xml:space="preserve">. </w:t>
      </w:r>
      <w:hyperlink r:id="rId32" w:history="1">
        <w:r w:rsidRPr="00461530">
          <w:rPr>
            <w:rStyle w:val="Hyperlink"/>
            <w:rFonts w:ascii="Times New Roman" w:hAnsi="Times New Roman" w:cs="Times New Roman"/>
            <w:sz w:val="24"/>
            <w:szCs w:val="24"/>
            <w:u w:val="none"/>
          </w:rPr>
          <w:t>https://doi.org/10.1155/2016/8910471</w:t>
        </w:r>
      </w:hyperlink>
    </w:p>
    <w:p w14:paraId="4F1C9282" w14:textId="77777777" w:rsidR="007C2D57" w:rsidRPr="00461530" w:rsidRDefault="007C2D57" w:rsidP="00461530">
      <w:pPr>
        <w:spacing w:line="276" w:lineRule="auto"/>
        <w:ind w:left="720" w:hanging="720"/>
        <w:jc w:val="both"/>
        <w:rPr>
          <w:rFonts w:ascii="Times New Roman" w:hAnsi="Times New Roman" w:cs="Times New Roman"/>
          <w:sz w:val="24"/>
          <w:szCs w:val="24"/>
        </w:rPr>
      </w:pPr>
      <w:r w:rsidRPr="00461530">
        <w:rPr>
          <w:rFonts w:ascii="Times New Roman" w:hAnsi="Times New Roman" w:cs="Times New Roman"/>
          <w:sz w:val="24"/>
          <w:szCs w:val="24"/>
        </w:rPr>
        <w:t xml:space="preserve"> Kinyua, K., &amp; </w:t>
      </w:r>
      <w:proofErr w:type="spellStart"/>
      <w:r w:rsidRPr="00461530">
        <w:rPr>
          <w:rFonts w:ascii="Times New Roman" w:hAnsi="Times New Roman" w:cs="Times New Roman"/>
          <w:sz w:val="24"/>
          <w:szCs w:val="24"/>
        </w:rPr>
        <w:t>Okunya</w:t>
      </w:r>
      <w:proofErr w:type="spellEnd"/>
      <w:r w:rsidRPr="00461530">
        <w:rPr>
          <w:rFonts w:ascii="Times New Roman" w:hAnsi="Times New Roman" w:cs="Times New Roman"/>
          <w:sz w:val="24"/>
          <w:szCs w:val="24"/>
        </w:rPr>
        <w:t xml:space="preserve">, L. O. (2014). Validity and Reliability of Teacher-Made Tests: Case Study of Year 11 Physics in </w:t>
      </w:r>
      <w:proofErr w:type="spellStart"/>
      <w:r w:rsidRPr="00461530">
        <w:rPr>
          <w:rFonts w:ascii="Times New Roman" w:hAnsi="Times New Roman" w:cs="Times New Roman"/>
          <w:sz w:val="24"/>
          <w:szCs w:val="24"/>
        </w:rPr>
        <w:t>Nyahururu</w:t>
      </w:r>
      <w:proofErr w:type="spellEnd"/>
      <w:r w:rsidRPr="00461530">
        <w:rPr>
          <w:rFonts w:ascii="Times New Roman" w:hAnsi="Times New Roman" w:cs="Times New Roman"/>
          <w:sz w:val="24"/>
          <w:szCs w:val="24"/>
        </w:rPr>
        <w:t xml:space="preserve"> District of Kenya. </w:t>
      </w:r>
      <w:r w:rsidRPr="00461530">
        <w:rPr>
          <w:rFonts w:ascii="Times New Roman" w:hAnsi="Times New Roman" w:cs="Times New Roman"/>
          <w:i/>
          <w:sz w:val="24"/>
          <w:szCs w:val="24"/>
        </w:rPr>
        <w:t>African Educational Research Journal, 2(2), 61-71.</w:t>
      </w:r>
      <w:r w:rsidRPr="00461530">
        <w:rPr>
          <w:rFonts w:ascii="Times New Roman" w:hAnsi="Times New Roman" w:cs="Times New Roman"/>
          <w:sz w:val="24"/>
          <w:szCs w:val="24"/>
        </w:rPr>
        <w:t xml:space="preserve"> </w:t>
      </w:r>
      <w:hyperlink r:id="rId33" w:history="1">
        <w:r w:rsidRPr="00461530">
          <w:rPr>
            <w:rStyle w:val="Hyperlink"/>
            <w:rFonts w:ascii="Times New Roman" w:hAnsi="Times New Roman" w:cs="Times New Roman"/>
            <w:sz w:val="24"/>
            <w:szCs w:val="24"/>
            <w:u w:val="none"/>
          </w:rPr>
          <w:t>https://eric.ed.gov/?id=EJ1216886</w:t>
        </w:r>
      </w:hyperlink>
    </w:p>
    <w:p w14:paraId="162D618B" w14:textId="77777777" w:rsidR="007C2D57" w:rsidRPr="00461530" w:rsidRDefault="007C2D57" w:rsidP="00461530">
      <w:pPr>
        <w:spacing w:line="276" w:lineRule="auto"/>
        <w:ind w:left="720" w:hanging="720"/>
        <w:jc w:val="both"/>
        <w:rPr>
          <w:rFonts w:ascii="Times New Roman" w:hAnsi="Times New Roman" w:cs="Times New Roman"/>
          <w:sz w:val="24"/>
          <w:szCs w:val="24"/>
        </w:rPr>
      </w:pPr>
      <w:proofErr w:type="spellStart"/>
      <w:proofErr w:type="gramStart"/>
      <w:r w:rsidRPr="00461530">
        <w:rPr>
          <w:rFonts w:ascii="Times New Roman" w:hAnsi="Times New Roman" w:cs="Times New Roman"/>
          <w:sz w:val="24"/>
          <w:szCs w:val="24"/>
        </w:rPr>
        <w:t>Lemma.C</w:t>
      </w:r>
      <w:proofErr w:type="spellEnd"/>
      <w:r w:rsidRPr="00461530">
        <w:rPr>
          <w:rFonts w:ascii="Times New Roman" w:hAnsi="Times New Roman" w:cs="Times New Roman"/>
          <w:sz w:val="24"/>
          <w:szCs w:val="24"/>
        </w:rPr>
        <w:t xml:space="preserve">  &amp;</w:t>
      </w:r>
      <w:proofErr w:type="gramEnd"/>
      <w:r w:rsidRPr="00461530">
        <w:rPr>
          <w:rFonts w:ascii="Times New Roman" w:hAnsi="Times New Roman" w:cs="Times New Roman"/>
          <w:sz w:val="24"/>
          <w:szCs w:val="24"/>
        </w:rPr>
        <w:t xml:space="preserve"> </w:t>
      </w:r>
      <w:proofErr w:type="spellStart"/>
      <w:r w:rsidRPr="00461530">
        <w:rPr>
          <w:rFonts w:ascii="Times New Roman" w:hAnsi="Times New Roman" w:cs="Times New Roman"/>
          <w:sz w:val="24"/>
          <w:szCs w:val="24"/>
        </w:rPr>
        <w:t>Agago</w:t>
      </w:r>
      <w:proofErr w:type="spellEnd"/>
      <w:r w:rsidRPr="00461530">
        <w:rPr>
          <w:rFonts w:ascii="Times New Roman" w:hAnsi="Times New Roman" w:cs="Times New Roman"/>
          <w:sz w:val="24"/>
          <w:szCs w:val="24"/>
        </w:rPr>
        <w:t xml:space="preserve">, M. (2022). Exploring national examination malpractice mechanisms and countermeasures: An Ethiopian perspective. </w:t>
      </w:r>
      <w:r w:rsidRPr="00461530">
        <w:rPr>
          <w:rFonts w:ascii="Times New Roman" w:hAnsi="Times New Roman" w:cs="Times New Roman"/>
          <w:i/>
          <w:sz w:val="24"/>
          <w:szCs w:val="24"/>
        </w:rPr>
        <w:t>International Journal of Instruction, 15(3), 413-428</w:t>
      </w:r>
      <w:r w:rsidRPr="00461530">
        <w:rPr>
          <w:rFonts w:ascii="Times New Roman" w:hAnsi="Times New Roman" w:cs="Times New Roman"/>
          <w:sz w:val="24"/>
          <w:szCs w:val="24"/>
        </w:rPr>
        <w:t xml:space="preserve">. </w:t>
      </w:r>
      <w:hyperlink r:id="rId34" w:history="1">
        <w:r w:rsidRPr="00461530">
          <w:rPr>
            <w:rStyle w:val="Hyperlink"/>
            <w:rFonts w:ascii="Times New Roman" w:hAnsi="Times New Roman" w:cs="Times New Roman"/>
            <w:sz w:val="24"/>
            <w:szCs w:val="24"/>
            <w:u w:val="none"/>
          </w:rPr>
          <w:t>https://doi.org/10.29333/iji.2022.15323a</w:t>
        </w:r>
      </w:hyperlink>
    </w:p>
    <w:p w14:paraId="6603BC94" w14:textId="77777777" w:rsidR="007C2D57" w:rsidRPr="00461530" w:rsidRDefault="007C2D57" w:rsidP="00461530">
      <w:pPr>
        <w:spacing w:line="276" w:lineRule="auto"/>
        <w:ind w:left="720" w:hanging="720"/>
        <w:jc w:val="both"/>
        <w:rPr>
          <w:rStyle w:val="Hyperlink"/>
          <w:rFonts w:ascii="Times New Roman" w:hAnsi="Times New Roman" w:cs="Times New Roman"/>
          <w:color w:val="auto"/>
          <w:sz w:val="24"/>
          <w:szCs w:val="24"/>
          <w:u w:val="none"/>
        </w:rPr>
      </w:pPr>
      <w:r w:rsidRPr="00461530">
        <w:rPr>
          <w:rFonts w:ascii="Times New Roman" w:hAnsi="Times New Roman" w:cs="Times New Roman"/>
          <w:sz w:val="24"/>
          <w:szCs w:val="24"/>
        </w:rPr>
        <w:t xml:space="preserve"> </w:t>
      </w:r>
      <w:proofErr w:type="spellStart"/>
      <w:r w:rsidRPr="00461530">
        <w:rPr>
          <w:rFonts w:ascii="Times New Roman" w:hAnsi="Times New Roman" w:cs="Times New Roman"/>
          <w:sz w:val="24"/>
          <w:szCs w:val="24"/>
        </w:rPr>
        <w:t>Machingambi</w:t>
      </w:r>
      <w:proofErr w:type="spellEnd"/>
      <w:r w:rsidRPr="00461530">
        <w:rPr>
          <w:rFonts w:ascii="Times New Roman" w:hAnsi="Times New Roman" w:cs="Times New Roman"/>
          <w:sz w:val="24"/>
          <w:szCs w:val="24"/>
        </w:rPr>
        <w:t xml:space="preserve">, Z. (2017). Multilevel Assessment of the Predictive Validity of Teacher Made Tests in the Zimbabwean Primary Education Sector. </w:t>
      </w:r>
      <w:r w:rsidRPr="00461530">
        <w:rPr>
          <w:rFonts w:ascii="Times New Roman" w:hAnsi="Times New Roman" w:cs="Times New Roman"/>
          <w:i/>
          <w:sz w:val="24"/>
          <w:szCs w:val="24"/>
        </w:rPr>
        <w:t>Journal of Education and Practice, 8(10), 65-77.</w:t>
      </w:r>
      <w:r w:rsidRPr="00461530">
        <w:rPr>
          <w:rFonts w:ascii="Times New Roman" w:hAnsi="Times New Roman" w:cs="Times New Roman"/>
          <w:sz w:val="24"/>
          <w:szCs w:val="24"/>
        </w:rPr>
        <w:t xml:space="preserve"> </w:t>
      </w:r>
      <w:hyperlink r:id="rId35" w:history="1">
        <w:r w:rsidRPr="00461530">
          <w:rPr>
            <w:rStyle w:val="Hyperlink"/>
            <w:rFonts w:ascii="Times New Roman" w:hAnsi="Times New Roman" w:cs="Times New Roman"/>
            <w:sz w:val="24"/>
            <w:szCs w:val="24"/>
            <w:u w:val="none"/>
          </w:rPr>
          <w:t>https://files.eric.ed.gov/fulltext/EJ1139816.pdf</w:t>
        </w:r>
      </w:hyperlink>
    </w:p>
    <w:p w14:paraId="3866649D" w14:textId="77777777" w:rsidR="007C2D57" w:rsidRPr="00461530" w:rsidRDefault="007C2D57" w:rsidP="00461530">
      <w:pPr>
        <w:spacing w:line="276" w:lineRule="auto"/>
        <w:ind w:left="720" w:hanging="720"/>
        <w:jc w:val="both"/>
        <w:rPr>
          <w:rFonts w:ascii="Times New Roman" w:hAnsi="Times New Roman" w:cs="Times New Roman"/>
          <w:sz w:val="24"/>
          <w:szCs w:val="24"/>
        </w:rPr>
      </w:pPr>
      <w:r w:rsidRPr="00461530">
        <w:rPr>
          <w:rFonts w:ascii="Times New Roman" w:hAnsi="Times New Roman" w:cs="Times New Roman"/>
          <w:sz w:val="24"/>
          <w:szCs w:val="24"/>
        </w:rPr>
        <w:t>Melaku. T. (2014). The validity of University Entrance Examination and High school Grade point average for predicting first-year university students' academic performance (</w:t>
      </w:r>
      <w:r w:rsidRPr="00461530">
        <w:rPr>
          <w:rFonts w:ascii="Times New Roman" w:hAnsi="Times New Roman" w:cs="Times New Roman"/>
          <w:i/>
          <w:sz w:val="24"/>
          <w:szCs w:val="24"/>
        </w:rPr>
        <w:t>Master's thesis, University of Twente</w:t>
      </w:r>
      <w:r w:rsidRPr="00461530">
        <w:rPr>
          <w:rFonts w:ascii="Times New Roman" w:hAnsi="Times New Roman" w:cs="Times New Roman"/>
          <w:sz w:val="24"/>
          <w:szCs w:val="24"/>
        </w:rPr>
        <w:t>). https://essay.utwente.nl/66652/ Order?</w:t>
      </w:r>
    </w:p>
    <w:p w14:paraId="4B2EB5A0" w14:textId="77777777" w:rsidR="007C2D57" w:rsidRPr="00461530" w:rsidRDefault="007C2D57" w:rsidP="00461530">
      <w:pPr>
        <w:spacing w:line="276" w:lineRule="auto"/>
        <w:ind w:left="720" w:hanging="720"/>
        <w:jc w:val="both"/>
        <w:rPr>
          <w:rFonts w:ascii="Times New Roman" w:hAnsi="Times New Roman" w:cs="Times New Roman"/>
          <w:sz w:val="24"/>
          <w:szCs w:val="24"/>
        </w:rPr>
      </w:pPr>
      <w:r w:rsidRPr="00461530">
        <w:rPr>
          <w:rFonts w:ascii="Times New Roman" w:hAnsi="Times New Roman" w:cs="Times New Roman"/>
          <w:sz w:val="24"/>
          <w:szCs w:val="24"/>
        </w:rPr>
        <w:t xml:space="preserve">Menter, F., &amp; Rumsey, C. (1994). Assessment of two-equation turbulence models for transonic flows. </w:t>
      </w:r>
      <w:r w:rsidRPr="00461530">
        <w:rPr>
          <w:rFonts w:ascii="Times New Roman" w:hAnsi="Times New Roman" w:cs="Times New Roman"/>
          <w:i/>
          <w:sz w:val="24"/>
          <w:szCs w:val="24"/>
        </w:rPr>
        <w:t>In Fluid Dynamics Conference (p. 2343)</w:t>
      </w:r>
      <w:r w:rsidRPr="00461530">
        <w:rPr>
          <w:rFonts w:ascii="Times New Roman" w:hAnsi="Times New Roman" w:cs="Times New Roman"/>
          <w:sz w:val="24"/>
          <w:szCs w:val="24"/>
        </w:rPr>
        <w:t xml:space="preserve">. </w:t>
      </w:r>
      <w:hyperlink r:id="rId36" w:history="1">
        <w:r w:rsidRPr="00461530">
          <w:rPr>
            <w:rStyle w:val="Hyperlink"/>
            <w:rFonts w:ascii="Times New Roman" w:hAnsi="Times New Roman" w:cs="Times New Roman"/>
            <w:sz w:val="24"/>
            <w:szCs w:val="24"/>
            <w:u w:val="none"/>
          </w:rPr>
          <w:t>https://doi.org/10.2514/6.1994-2343</w:t>
        </w:r>
      </w:hyperlink>
    </w:p>
    <w:p w14:paraId="59FA85C1" w14:textId="77777777" w:rsidR="007C2D57" w:rsidRPr="00461530" w:rsidRDefault="007C2D57" w:rsidP="00461530">
      <w:pPr>
        <w:spacing w:line="276" w:lineRule="auto"/>
        <w:ind w:left="720" w:hanging="720"/>
        <w:jc w:val="both"/>
        <w:rPr>
          <w:rFonts w:ascii="Times New Roman" w:hAnsi="Times New Roman" w:cs="Times New Roman"/>
          <w:sz w:val="24"/>
          <w:szCs w:val="24"/>
        </w:rPr>
      </w:pPr>
      <w:r w:rsidRPr="00461530">
        <w:rPr>
          <w:rFonts w:ascii="Times New Roman" w:hAnsi="Times New Roman" w:cs="Times New Roman"/>
          <w:sz w:val="24"/>
          <w:szCs w:val="24"/>
        </w:rPr>
        <w:t xml:space="preserve">MOE. (2008). </w:t>
      </w:r>
      <w:r w:rsidRPr="00461530">
        <w:rPr>
          <w:rFonts w:ascii="Times New Roman" w:hAnsi="Times New Roman" w:cs="Times New Roman"/>
          <w:i/>
          <w:sz w:val="24"/>
          <w:szCs w:val="24"/>
        </w:rPr>
        <w:t xml:space="preserve">National Technical and Vocational Education and Training </w:t>
      </w:r>
      <w:r w:rsidRPr="00461530">
        <w:rPr>
          <w:rFonts w:ascii="Times New Roman" w:hAnsi="Times New Roman" w:cs="Times New Roman"/>
          <w:i/>
          <w:sz w:val="24"/>
          <w:szCs w:val="24"/>
        </w:rPr>
        <w:t>(TVET) Strategy</w:t>
      </w:r>
      <w:r w:rsidRPr="00461530">
        <w:rPr>
          <w:rFonts w:ascii="Times New Roman" w:hAnsi="Times New Roman" w:cs="Times New Roman"/>
          <w:sz w:val="24"/>
          <w:szCs w:val="24"/>
        </w:rPr>
        <w:t>. Addis Ababa: Federal Democratic Republic of Ethiopia, Ministry of Education.</w:t>
      </w:r>
    </w:p>
    <w:p w14:paraId="7AEA13A7" w14:textId="77777777" w:rsidR="007C2D57" w:rsidRPr="00461530" w:rsidRDefault="007C2D57" w:rsidP="00461530">
      <w:pPr>
        <w:spacing w:line="276" w:lineRule="auto"/>
        <w:ind w:left="720" w:hanging="720"/>
        <w:jc w:val="both"/>
        <w:rPr>
          <w:rFonts w:ascii="Times New Roman" w:hAnsi="Times New Roman" w:cs="Times New Roman"/>
          <w:sz w:val="24"/>
          <w:szCs w:val="24"/>
        </w:rPr>
      </w:pPr>
      <w:r w:rsidRPr="00461530">
        <w:rPr>
          <w:rFonts w:ascii="Times New Roman" w:hAnsi="Times New Roman" w:cs="Times New Roman"/>
          <w:sz w:val="24"/>
          <w:szCs w:val="24"/>
        </w:rPr>
        <w:t xml:space="preserve">Mulu Nega. (2012). Quality and quality assurance in Ethiopian higher education [Book]. Maastricht: </w:t>
      </w:r>
      <w:proofErr w:type="spellStart"/>
      <w:r w:rsidRPr="00461530">
        <w:rPr>
          <w:rFonts w:ascii="Times New Roman" w:hAnsi="Times New Roman" w:cs="Times New Roman"/>
          <w:sz w:val="24"/>
          <w:szCs w:val="24"/>
        </w:rPr>
        <w:t>Datawyse</w:t>
      </w:r>
      <w:proofErr w:type="spellEnd"/>
      <w:r w:rsidRPr="00461530">
        <w:rPr>
          <w:rFonts w:ascii="Times New Roman" w:hAnsi="Times New Roman" w:cs="Times New Roman"/>
          <w:sz w:val="24"/>
          <w:szCs w:val="24"/>
        </w:rPr>
        <w:t xml:space="preserve">/ Universitaire Pers Maastricht. </w:t>
      </w:r>
      <w:proofErr w:type="spellStart"/>
      <w:r w:rsidRPr="00461530">
        <w:rPr>
          <w:rFonts w:ascii="Times New Roman" w:hAnsi="Times New Roman" w:cs="Times New Roman"/>
          <w:sz w:val="24"/>
          <w:szCs w:val="24"/>
        </w:rPr>
        <w:t>doi</w:t>
      </w:r>
      <w:proofErr w:type="spellEnd"/>
      <w:r w:rsidRPr="00461530">
        <w:rPr>
          <w:rFonts w:ascii="Times New Roman" w:hAnsi="Times New Roman" w:cs="Times New Roman"/>
          <w:sz w:val="24"/>
          <w:szCs w:val="24"/>
        </w:rPr>
        <w:t xml:space="preserve">: 10.3990/1.9789036533157 </w:t>
      </w:r>
    </w:p>
    <w:p w14:paraId="0100E602" w14:textId="77777777" w:rsidR="007C2D57" w:rsidRPr="00461530" w:rsidRDefault="007C2D57" w:rsidP="00461530">
      <w:pPr>
        <w:spacing w:line="276" w:lineRule="auto"/>
        <w:ind w:left="720" w:hanging="720"/>
        <w:jc w:val="both"/>
        <w:rPr>
          <w:rFonts w:ascii="Times New Roman" w:hAnsi="Times New Roman" w:cs="Times New Roman"/>
          <w:sz w:val="24"/>
          <w:szCs w:val="24"/>
        </w:rPr>
      </w:pPr>
      <w:r w:rsidRPr="00461530">
        <w:rPr>
          <w:rFonts w:ascii="Times New Roman" w:hAnsi="Times New Roman" w:cs="Times New Roman"/>
          <w:sz w:val="24"/>
          <w:szCs w:val="24"/>
        </w:rPr>
        <w:t xml:space="preserve"> NCME. (1990). </w:t>
      </w:r>
      <w:r w:rsidRPr="00461530">
        <w:rPr>
          <w:rFonts w:ascii="Times New Roman" w:hAnsi="Times New Roman" w:cs="Times New Roman"/>
          <w:i/>
          <w:sz w:val="24"/>
          <w:szCs w:val="24"/>
        </w:rPr>
        <w:t>Standards for teacher competence in educational assessment of students</w:t>
      </w:r>
      <w:r w:rsidRPr="00461530">
        <w:rPr>
          <w:rFonts w:ascii="Times New Roman" w:hAnsi="Times New Roman" w:cs="Times New Roman"/>
          <w:sz w:val="24"/>
          <w:szCs w:val="24"/>
        </w:rPr>
        <w:t>. National Council on Measurement in Education.  ERIC Clearinghouse.</w:t>
      </w:r>
    </w:p>
    <w:p w14:paraId="1A84836A" w14:textId="77777777" w:rsidR="007C2D57" w:rsidRPr="00461530" w:rsidRDefault="007C2D57" w:rsidP="00461530">
      <w:pPr>
        <w:spacing w:line="276" w:lineRule="auto"/>
        <w:ind w:left="720" w:hanging="720"/>
        <w:jc w:val="both"/>
        <w:rPr>
          <w:rFonts w:ascii="Times New Roman" w:hAnsi="Times New Roman" w:cs="Times New Roman"/>
          <w:sz w:val="24"/>
          <w:szCs w:val="24"/>
        </w:rPr>
      </w:pPr>
      <w:r w:rsidRPr="00461530">
        <w:rPr>
          <w:rFonts w:ascii="Times New Roman" w:hAnsi="Times New Roman" w:cs="Times New Roman"/>
          <w:sz w:val="24"/>
          <w:szCs w:val="24"/>
        </w:rPr>
        <w:t xml:space="preserve"> Nelson, D., </w:t>
      </w:r>
      <w:proofErr w:type="spellStart"/>
      <w:r w:rsidRPr="00461530">
        <w:rPr>
          <w:rFonts w:ascii="Times New Roman" w:hAnsi="Times New Roman" w:cs="Times New Roman"/>
          <w:sz w:val="24"/>
          <w:szCs w:val="24"/>
        </w:rPr>
        <w:t>Devardhi</w:t>
      </w:r>
      <w:proofErr w:type="spellEnd"/>
      <w:r w:rsidRPr="00461530">
        <w:rPr>
          <w:rFonts w:ascii="Times New Roman" w:hAnsi="Times New Roman" w:cs="Times New Roman"/>
          <w:sz w:val="24"/>
          <w:szCs w:val="24"/>
        </w:rPr>
        <w:t xml:space="preserve">, J., &amp; Abdulaziz D. (2012). Effects of Cheating on Accurate Assessment. </w:t>
      </w:r>
      <w:r w:rsidRPr="00461530">
        <w:rPr>
          <w:rFonts w:ascii="Times New Roman" w:hAnsi="Times New Roman" w:cs="Times New Roman"/>
          <w:i/>
          <w:sz w:val="24"/>
          <w:szCs w:val="24"/>
        </w:rPr>
        <w:t>Journal of Science, Technology and Arts Research</w:t>
      </w:r>
      <w:r w:rsidRPr="00461530">
        <w:rPr>
          <w:rFonts w:ascii="Times New Roman" w:hAnsi="Times New Roman" w:cs="Times New Roman"/>
          <w:sz w:val="24"/>
          <w:szCs w:val="24"/>
        </w:rPr>
        <w:t>, 1(3).</w:t>
      </w:r>
    </w:p>
    <w:p w14:paraId="68B2452F" w14:textId="77777777" w:rsidR="007C2D57" w:rsidRPr="00461530" w:rsidRDefault="007C2D57" w:rsidP="00461530">
      <w:pPr>
        <w:spacing w:line="276" w:lineRule="auto"/>
        <w:ind w:left="720" w:hanging="720"/>
        <w:jc w:val="both"/>
        <w:rPr>
          <w:rFonts w:ascii="Times New Roman" w:hAnsi="Times New Roman" w:cs="Times New Roman"/>
          <w:sz w:val="24"/>
          <w:szCs w:val="24"/>
        </w:rPr>
      </w:pPr>
      <w:r w:rsidRPr="00461530">
        <w:rPr>
          <w:rFonts w:ascii="Times New Roman" w:hAnsi="Times New Roman" w:cs="Times New Roman"/>
          <w:color w:val="222222"/>
          <w:sz w:val="24"/>
          <w:szCs w:val="24"/>
          <w:shd w:val="clear" w:color="auto" w:fill="FFFFFF"/>
        </w:rPr>
        <w:t xml:space="preserve">Nelson, D., </w:t>
      </w:r>
      <w:proofErr w:type="spellStart"/>
      <w:r w:rsidRPr="00461530">
        <w:rPr>
          <w:rFonts w:ascii="Times New Roman" w:hAnsi="Times New Roman" w:cs="Times New Roman"/>
          <w:color w:val="222222"/>
          <w:sz w:val="24"/>
          <w:szCs w:val="24"/>
          <w:shd w:val="clear" w:color="auto" w:fill="FFFFFF"/>
        </w:rPr>
        <w:t>Devardhi</w:t>
      </w:r>
      <w:proofErr w:type="spellEnd"/>
      <w:r w:rsidRPr="00461530">
        <w:rPr>
          <w:rFonts w:ascii="Times New Roman" w:hAnsi="Times New Roman" w:cs="Times New Roman"/>
          <w:color w:val="222222"/>
          <w:sz w:val="24"/>
          <w:szCs w:val="24"/>
          <w:shd w:val="clear" w:color="auto" w:fill="FFFFFF"/>
        </w:rPr>
        <w:t>, J., &amp; Dino, A. (2012). Effects of Cheating on Accurate Assessment. </w:t>
      </w:r>
      <w:r w:rsidRPr="00461530">
        <w:rPr>
          <w:rFonts w:ascii="Times New Roman" w:hAnsi="Times New Roman" w:cs="Times New Roman"/>
          <w:i/>
          <w:iCs/>
          <w:color w:val="222222"/>
          <w:sz w:val="24"/>
          <w:szCs w:val="24"/>
          <w:shd w:val="clear" w:color="auto" w:fill="FFFFFF"/>
        </w:rPr>
        <w:t>Science, Technology and Arts Research Journal</w:t>
      </w:r>
      <w:r w:rsidRPr="00461530">
        <w:rPr>
          <w:rFonts w:ascii="Times New Roman" w:hAnsi="Times New Roman" w:cs="Times New Roman"/>
          <w:color w:val="222222"/>
          <w:sz w:val="24"/>
          <w:szCs w:val="24"/>
          <w:shd w:val="clear" w:color="auto" w:fill="FFFFFF"/>
        </w:rPr>
        <w:t>, </w:t>
      </w:r>
      <w:r w:rsidRPr="00461530">
        <w:rPr>
          <w:rFonts w:ascii="Times New Roman" w:hAnsi="Times New Roman" w:cs="Times New Roman"/>
          <w:i/>
          <w:iCs/>
          <w:color w:val="222222"/>
          <w:sz w:val="24"/>
          <w:szCs w:val="24"/>
          <w:shd w:val="clear" w:color="auto" w:fill="FFFFFF"/>
        </w:rPr>
        <w:t>1</w:t>
      </w:r>
      <w:r w:rsidRPr="00461530">
        <w:rPr>
          <w:rFonts w:ascii="Times New Roman" w:hAnsi="Times New Roman" w:cs="Times New Roman"/>
          <w:color w:val="222222"/>
          <w:sz w:val="24"/>
          <w:szCs w:val="24"/>
          <w:shd w:val="clear" w:color="auto" w:fill="FFFFFF"/>
        </w:rPr>
        <w:t>(3), 68-74.</w:t>
      </w:r>
    </w:p>
    <w:p w14:paraId="1A1512F3" w14:textId="77777777" w:rsidR="007C2D57" w:rsidRPr="00461530" w:rsidRDefault="007C2D57" w:rsidP="00461530">
      <w:pPr>
        <w:spacing w:line="276" w:lineRule="auto"/>
        <w:ind w:left="720" w:hanging="720"/>
        <w:jc w:val="both"/>
        <w:rPr>
          <w:rFonts w:ascii="Times New Roman" w:hAnsi="Times New Roman" w:cs="Times New Roman"/>
          <w:sz w:val="24"/>
          <w:szCs w:val="24"/>
        </w:rPr>
      </w:pPr>
      <w:r w:rsidRPr="00461530">
        <w:rPr>
          <w:rFonts w:ascii="Times New Roman" w:hAnsi="Times New Roman" w:cs="Times New Roman"/>
          <w:sz w:val="24"/>
          <w:szCs w:val="24"/>
        </w:rPr>
        <w:t xml:space="preserve">Nikolopoulou, K. (2022, September 2). </w:t>
      </w:r>
      <w:r w:rsidRPr="00461530">
        <w:rPr>
          <w:rFonts w:ascii="Times New Roman" w:hAnsi="Times New Roman" w:cs="Times New Roman"/>
          <w:i/>
          <w:sz w:val="24"/>
          <w:szCs w:val="24"/>
        </w:rPr>
        <w:t>What Is Criterion Validity</w:t>
      </w:r>
      <w:r w:rsidRPr="00461530">
        <w:rPr>
          <w:rFonts w:ascii="Times New Roman" w:hAnsi="Times New Roman" w:cs="Times New Roman"/>
          <w:sz w:val="24"/>
          <w:szCs w:val="24"/>
        </w:rPr>
        <w:t xml:space="preserve">? | Definition &amp; Examples. Retrieved January 22, 2024, from </w:t>
      </w:r>
      <w:hyperlink r:id="rId37" w:history="1">
        <w:r w:rsidRPr="00461530">
          <w:rPr>
            <w:rStyle w:val="Hyperlink"/>
            <w:rFonts w:ascii="Times New Roman" w:hAnsi="Times New Roman" w:cs="Times New Roman"/>
            <w:sz w:val="24"/>
            <w:szCs w:val="24"/>
            <w:u w:val="none"/>
          </w:rPr>
          <w:t>https://www.scribbr.com/methodology/criterion-validity/</w:t>
        </w:r>
      </w:hyperlink>
    </w:p>
    <w:p w14:paraId="3584C19B" w14:textId="77777777" w:rsidR="007C2D57" w:rsidRPr="00461530" w:rsidRDefault="007C2D57" w:rsidP="00461530">
      <w:pPr>
        <w:spacing w:line="276" w:lineRule="auto"/>
        <w:ind w:left="720" w:hanging="720"/>
        <w:jc w:val="both"/>
        <w:rPr>
          <w:rFonts w:ascii="Times New Roman" w:hAnsi="Times New Roman" w:cs="Times New Roman"/>
          <w:sz w:val="24"/>
          <w:szCs w:val="24"/>
        </w:rPr>
      </w:pPr>
      <w:r w:rsidRPr="00461530">
        <w:rPr>
          <w:rFonts w:ascii="Times New Roman" w:hAnsi="Times New Roman" w:cs="Times New Roman"/>
          <w:sz w:val="24"/>
          <w:szCs w:val="24"/>
        </w:rPr>
        <w:t>Okerblom, M. J. (2019). The Impact of Performance Funding on Community College Degree Completion, Certificate Completion, and Transfer Rate: A Difference in-Differences Approach (</w:t>
      </w:r>
      <w:r w:rsidRPr="00461530">
        <w:rPr>
          <w:rFonts w:ascii="Times New Roman" w:hAnsi="Times New Roman" w:cs="Times New Roman"/>
          <w:i/>
          <w:sz w:val="24"/>
          <w:szCs w:val="24"/>
        </w:rPr>
        <w:t>Doctoral dissertation, Old Dominion University</w:t>
      </w:r>
      <w:r w:rsidRPr="00461530">
        <w:rPr>
          <w:rFonts w:ascii="Times New Roman" w:hAnsi="Times New Roman" w:cs="Times New Roman"/>
          <w:sz w:val="24"/>
          <w:szCs w:val="24"/>
        </w:rPr>
        <w:t xml:space="preserve">). </w:t>
      </w:r>
      <w:hyperlink r:id="rId38" w:history="1">
        <w:r w:rsidRPr="00461530">
          <w:rPr>
            <w:rStyle w:val="Hyperlink"/>
            <w:rFonts w:ascii="Times New Roman" w:hAnsi="Times New Roman" w:cs="Times New Roman"/>
            <w:sz w:val="24"/>
            <w:szCs w:val="24"/>
            <w:u w:val="none"/>
          </w:rPr>
          <w:t>https://doi.org/10.1063/1.5003559</w:t>
        </w:r>
      </w:hyperlink>
    </w:p>
    <w:p w14:paraId="41041C2B" w14:textId="77777777" w:rsidR="007C2D57" w:rsidRPr="00461530" w:rsidRDefault="007C2D57" w:rsidP="00461530">
      <w:pPr>
        <w:spacing w:line="276" w:lineRule="auto"/>
        <w:ind w:left="720" w:hanging="720"/>
        <w:jc w:val="both"/>
        <w:rPr>
          <w:rFonts w:ascii="Times New Roman" w:hAnsi="Times New Roman" w:cs="Times New Roman"/>
          <w:sz w:val="24"/>
          <w:szCs w:val="24"/>
        </w:rPr>
      </w:pPr>
      <w:r w:rsidRPr="00461530">
        <w:rPr>
          <w:rFonts w:ascii="Times New Roman" w:hAnsi="Times New Roman" w:cs="Times New Roman"/>
          <w:sz w:val="24"/>
          <w:szCs w:val="24"/>
        </w:rPr>
        <w:t xml:space="preserve"> Paryono, P. (2017, September). The importance of TVET and its contribution to sustainable development. </w:t>
      </w:r>
      <w:r w:rsidRPr="00461530">
        <w:rPr>
          <w:rFonts w:ascii="Times New Roman" w:hAnsi="Times New Roman" w:cs="Times New Roman"/>
          <w:i/>
          <w:sz w:val="24"/>
          <w:szCs w:val="24"/>
        </w:rPr>
        <w:t xml:space="preserve">In AIP </w:t>
      </w:r>
      <w:r w:rsidRPr="00461530">
        <w:rPr>
          <w:rFonts w:ascii="Times New Roman" w:hAnsi="Times New Roman" w:cs="Times New Roman"/>
          <w:i/>
          <w:sz w:val="24"/>
          <w:szCs w:val="24"/>
        </w:rPr>
        <w:lastRenderedPageBreak/>
        <w:t>Conference Proceedings</w:t>
      </w:r>
      <w:r w:rsidRPr="00461530">
        <w:rPr>
          <w:rFonts w:ascii="Times New Roman" w:hAnsi="Times New Roman" w:cs="Times New Roman"/>
          <w:sz w:val="24"/>
          <w:szCs w:val="24"/>
        </w:rPr>
        <w:t xml:space="preserve"> (Vol. 1887, No. 1). AIP Publishing. </w:t>
      </w:r>
      <w:hyperlink r:id="rId39" w:history="1">
        <w:r w:rsidRPr="00461530">
          <w:rPr>
            <w:rStyle w:val="Hyperlink"/>
            <w:rFonts w:ascii="Times New Roman" w:hAnsi="Times New Roman" w:cs="Times New Roman"/>
            <w:sz w:val="24"/>
            <w:szCs w:val="24"/>
            <w:u w:val="none"/>
          </w:rPr>
          <w:t>https://doi.org/10.1063/1.5003559</w:t>
        </w:r>
      </w:hyperlink>
    </w:p>
    <w:p w14:paraId="55B974B0" w14:textId="77777777" w:rsidR="007C2D57" w:rsidRPr="00461530" w:rsidRDefault="007C2D57" w:rsidP="00461530">
      <w:pPr>
        <w:spacing w:line="276" w:lineRule="auto"/>
        <w:ind w:left="720" w:hanging="720"/>
        <w:jc w:val="both"/>
        <w:rPr>
          <w:rFonts w:ascii="Times New Roman" w:hAnsi="Times New Roman" w:cs="Times New Roman"/>
          <w:sz w:val="24"/>
          <w:szCs w:val="24"/>
        </w:rPr>
      </w:pPr>
      <w:r w:rsidRPr="00461530">
        <w:rPr>
          <w:rFonts w:ascii="Times New Roman" w:hAnsi="Times New Roman" w:cs="Times New Roman"/>
          <w:sz w:val="24"/>
          <w:szCs w:val="24"/>
        </w:rPr>
        <w:t xml:space="preserve"> </w:t>
      </w:r>
      <w:proofErr w:type="spellStart"/>
      <w:r w:rsidRPr="00461530">
        <w:rPr>
          <w:rFonts w:ascii="Times New Roman" w:hAnsi="Times New Roman" w:cs="Times New Roman"/>
          <w:sz w:val="24"/>
          <w:szCs w:val="24"/>
        </w:rPr>
        <w:t>Puddey</w:t>
      </w:r>
      <w:proofErr w:type="spellEnd"/>
      <w:r w:rsidRPr="00461530">
        <w:rPr>
          <w:rFonts w:ascii="Times New Roman" w:hAnsi="Times New Roman" w:cs="Times New Roman"/>
          <w:sz w:val="24"/>
          <w:szCs w:val="24"/>
        </w:rPr>
        <w:t xml:space="preserve">, I. B., &amp; Mercer, A. (2014). Predicting academic outcomes in an Australian graduate entry medical </w:t>
      </w:r>
      <w:proofErr w:type="spellStart"/>
      <w:r w:rsidRPr="00461530">
        <w:rPr>
          <w:rFonts w:ascii="Times New Roman" w:hAnsi="Times New Roman" w:cs="Times New Roman"/>
          <w:sz w:val="24"/>
          <w:szCs w:val="24"/>
        </w:rPr>
        <w:t>programme</w:t>
      </w:r>
      <w:proofErr w:type="spellEnd"/>
      <w:r w:rsidRPr="00461530">
        <w:rPr>
          <w:rFonts w:ascii="Times New Roman" w:hAnsi="Times New Roman" w:cs="Times New Roman"/>
          <w:sz w:val="24"/>
          <w:szCs w:val="24"/>
        </w:rPr>
        <w:t xml:space="preserve">. </w:t>
      </w:r>
      <w:r w:rsidRPr="00461530">
        <w:rPr>
          <w:rFonts w:ascii="Times New Roman" w:hAnsi="Times New Roman" w:cs="Times New Roman"/>
          <w:i/>
          <w:sz w:val="24"/>
          <w:szCs w:val="24"/>
        </w:rPr>
        <w:t>BMC Medical Education</w:t>
      </w:r>
      <w:r w:rsidRPr="00461530">
        <w:rPr>
          <w:rFonts w:ascii="Times New Roman" w:hAnsi="Times New Roman" w:cs="Times New Roman"/>
          <w:sz w:val="24"/>
          <w:szCs w:val="24"/>
        </w:rPr>
        <w:t xml:space="preserve">, 14(1), 1-12. </w:t>
      </w:r>
      <w:hyperlink r:id="rId40" w:history="1">
        <w:r w:rsidRPr="00461530">
          <w:rPr>
            <w:rStyle w:val="Hyperlink"/>
            <w:rFonts w:ascii="Times New Roman" w:hAnsi="Times New Roman" w:cs="Times New Roman"/>
            <w:sz w:val="24"/>
            <w:szCs w:val="24"/>
            <w:u w:val="none"/>
          </w:rPr>
          <w:t>https://eric.ed.gov/?id=EJ776614</w:t>
        </w:r>
      </w:hyperlink>
    </w:p>
    <w:p w14:paraId="46BE6053" w14:textId="77777777" w:rsidR="007C2D57" w:rsidRPr="00461530" w:rsidRDefault="007C2D57" w:rsidP="00461530">
      <w:pPr>
        <w:spacing w:line="276" w:lineRule="auto"/>
        <w:ind w:left="720" w:hanging="720"/>
        <w:jc w:val="both"/>
        <w:rPr>
          <w:rFonts w:ascii="Times New Roman" w:hAnsi="Times New Roman" w:cs="Times New Roman"/>
          <w:sz w:val="24"/>
          <w:szCs w:val="24"/>
        </w:rPr>
      </w:pPr>
      <w:r w:rsidRPr="00461530">
        <w:rPr>
          <w:rFonts w:ascii="Times New Roman" w:hAnsi="Times New Roman" w:cs="Times New Roman"/>
          <w:sz w:val="24"/>
          <w:szCs w:val="24"/>
        </w:rPr>
        <w:t xml:space="preserve"> Rumsey, D 1994, Assessment: A practical guide, Department of Employment, </w:t>
      </w:r>
      <w:r w:rsidRPr="00461530">
        <w:rPr>
          <w:rFonts w:ascii="Times New Roman" w:hAnsi="Times New Roman" w:cs="Times New Roman"/>
          <w:i/>
          <w:sz w:val="24"/>
          <w:szCs w:val="24"/>
        </w:rPr>
        <w:t>Education and Training, Canberra.</w:t>
      </w:r>
      <w:r w:rsidRPr="00461530">
        <w:rPr>
          <w:rFonts w:ascii="Times New Roman" w:hAnsi="Times New Roman" w:cs="Times New Roman"/>
          <w:sz w:val="24"/>
          <w:szCs w:val="24"/>
        </w:rPr>
        <w:t xml:space="preserve"> </w:t>
      </w:r>
      <w:hyperlink r:id="rId41" w:history="1">
        <w:r w:rsidRPr="00461530">
          <w:rPr>
            <w:rStyle w:val="Hyperlink"/>
            <w:rFonts w:ascii="Times New Roman" w:hAnsi="Times New Roman" w:cs="Times New Roman"/>
            <w:sz w:val="24"/>
            <w:szCs w:val="24"/>
            <w:u w:val="none"/>
          </w:rPr>
          <w:t>https://scholar.google.com/scholar</w:t>
        </w:r>
      </w:hyperlink>
    </w:p>
    <w:p w14:paraId="10822892" w14:textId="77777777" w:rsidR="007C2D57" w:rsidRPr="00461530" w:rsidRDefault="007C2D57" w:rsidP="00461530">
      <w:pPr>
        <w:spacing w:line="276" w:lineRule="auto"/>
        <w:ind w:left="720" w:hanging="720"/>
        <w:jc w:val="both"/>
        <w:rPr>
          <w:rFonts w:ascii="Times New Roman" w:hAnsi="Times New Roman" w:cs="Times New Roman"/>
          <w:sz w:val="24"/>
          <w:szCs w:val="24"/>
        </w:rPr>
      </w:pPr>
      <w:r w:rsidRPr="00461530">
        <w:rPr>
          <w:rFonts w:ascii="Times New Roman" w:hAnsi="Times New Roman" w:cs="Times New Roman"/>
          <w:sz w:val="24"/>
          <w:szCs w:val="24"/>
        </w:rPr>
        <w:t>Savin-Williams, R. C., &amp; Cohen, K. M. (2015). Developmental trajectories and milestones of lesbian, gay, and bisexual young people</w:t>
      </w:r>
      <w:r w:rsidRPr="00461530">
        <w:rPr>
          <w:rFonts w:ascii="Times New Roman" w:hAnsi="Times New Roman" w:cs="Times New Roman"/>
          <w:i/>
          <w:sz w:val="24"/>
          <w:szCs w:val="24"/>
        </w:rPr>
        <w:t>. International Review of Psychiatry</w:t>
      </w:r>
      <w:r w:rsidRPr="00461530">
        <w:rPr>
          <w:rFonts w:ascii="Times New Roman" w:hAnsi="Times New Roman" w:cs="Times New Roman"/>
          <w:sz w:val="24"/>
          <w:szCs w:val="24"/>
        </w:rPr>
        <w:t xml:space="preserve">, 27(5), 357-366. </w:t>
      </w:r>
      <w:hyperlink r:id="rId42" w:history="1">
        <w:r w:rsidRPr="00461530">
          <w:rPr>
            <w:rStyle w:val="Hyperlink"/>
            <w:rFonts w:ascii="Times New Roman" w:hAnsi="Times New Roman" w:cs="Times New Roman"/>
            <w:sz w:val="24"/>
            <w:szCs w:val="24"/>
            <w:u w:val="none"/>
          </w:rPr>
          <w:t>https://doi.org/10.3109/09540261.2015.1093465</w:t>
        </w:r>
      </w:hyperlink>
    </w:p>
    <w:p w14:paraId="6C5B2966" w14:textId="77777777" w:rsidR="007C2D57" w:rsidRPr="00461530" w:rsidRDefault="007C2D57" w:rsidP="00461530">
      <w:pPr>
        <w:spacing w:line="276" w:lineRule="auto"/>
        <w:ind w:left="720" w:hanging="720"/>
        <w:jc w:val="both"/>
        <w:rPr>
          <w:rFonts w:ascii="Times New Roman" w:hAnsi="Times New Roman" w:cs="Times New Roman"/>
          <w:sz w:val="24"/>
          <w:szCs w:val="24"/>
        </w:rPr>
      </w:pPr>
      <w:r w:rsidRPr="00461530">
        <w:rPr>
          <w:rFonts w:ascii="Times New Roman" w:hAnsi="Times New Roman" w:cs="Times New Roman"/>
          <w:sz w:val="24"/>
          <w:szCs w:val="24"/>
        </w:rPr>
        <w:t xml:space="preserve">Shepard, L. A. (1993). Chapter 9: Evaluating test validity. </w:t>
      </w:r>
      <w:r w:rsidRPr="00461530">
        <w:rPr>
          <w:rFonts w:ascii="Times New Roman" w:hAnsi="Times New Roman" w:cs="Times New Roman"/>
          <w:i/>
          <w:sz w:val="24"/>
          <w:szCs w:val="24"/>
        </w:rPr>
        <w:t>Review of Research in Education,</w:t>
      </w:r>
      <w:r w:rsidRPr="00461530">
        <w:rPr>
          <w:rFonts w:ascii="Times New Roman" w:hAnsi="Times New Roman" w:cs="Times New Roman"/>
          <w:sz w:val="24"/>
          <w:szCs w:val="24"/>
        </w:rPr>
        <w:t xml:space="preserve"> 19(1), 405-450. : </w:t>
      </w:r>
      <w:hyperlink r:id="rId43" w:history="1">
        <w:r w:rsidRPr="00461530">
          <w:rPr>
            <w:rStyle w:val="Hyperlink"/>
            <w:rFonts w:ascii="Times New Roman" w:hAnsi="Times New Roman" w:cs="Times New Roman"/>
            <w:sz w:val="24"/>
            <w:szCs w:val="24"/>
            <w:u w:val="none"/>
          </w:rPr>
          <w:t>https://www.jstor.org/stable/1167347</w:t>
        </w:r>
      </w:hyperlink>
    </w:p>
    <w:p w14:paraId="00502F63" w14:textId="77777777" w:rsidR="007C2D57" w:rsidRPr="00461530" w:rsidRDefault="007C2D57" w:rsidP="00461530">
      <w:pPr>
        <w:spacing w:line="276" w:lineRule="auto"/>
        <w:ind w:left="720" w:hanging="720"/>
        <w:jc w:val="both"/>
        <w:rPr>
          <w:rFonts w:ascii="Times New Roman" w:hAnsi="Times New Roman" w:cs="Times New Roman"/>
          <w:sz w:val="24"/>
          <w:szCs w:val="24"/>
        </w:rPr>
      </w:pPr>
      <w:r w:rsidRPr="00461530">
        <w:rPr>
          <w:rFonts w:ascii="Times New Roman" w:hAnsi="Times New Roman" w:cs="Times New Roman"/>
          <w:sz w:val="24"/>
          <w:szCs w:val="24"/>
        </w:rPr>
        <w:t xml:space="preserve">Smith, E., &amp; Keating, J. (2003). From Training Reform to Training Packages. </w:t>
      </w:r>
      <w:proofErr w:type="spellStart"/>
      <w:r w:rsidRPr="00461530">
        <w:rPr>
          <w:rFonts w:ascii="Times New Roman" w:hAnsi="Times New Roman" w:cs="Times New Roman"/>
          <w:sz w:val="24"/>
          <w:szCs w:val="24"/>
        </w:rPr>
        <w:t>Tuggerah</w:t>
      </w:r>
      <w:proofErr w:type="spellEnd"/>
      <w:r w:rsidRPr="00461530">
        <w:rPr>
          <w:rFonts w:ascii="Times New Roman" w:hAnsi="Times New Roman" w:cs="Times New Roman"/>
          <w:sz w:val="24"/>
          <w:szCs w:val="24"/>
        </w:rPr>
        <w:t xml:space="preserve">, N.S.W: </w:t>
      </w:r>
      <w:r w:rsidRPr="00461530">
        <w:rPr>
          <w:rFonts w:ascii="Times New Roman" w:hAnsi="Times New Roman" w:cs="Times New Roman"/>
          <w:i/>
          <w:sz w:val="24"/>
          <w:szCs w:val="24"/>
        </w:rPr>
        <w:t>Social Science Press.</w:t>
      </w:r>
      <w:r w:rsidRPr="00461530">
        <w:rPr>
          <w:rFonts w:ascii="Times New Roman" w:hAnsi="Times New Roman" w:cs="Times New Roman"/>
          <w:sz w:val="24"/>
          <w:szCs w:val="24"/>
        </w:rPr>
        <w:t xml:space="preserve"> </w:t>
      </w:r>
      <w:hyperlink r:id="rId44" w:history="1">
        <w:r w:rsidRPr="00461530">
          <w:rPr>
            <w:rStyle w:val="Hyperlink"/>
            <w:rFonts w:ascii="Times New Roman" w:hAnsi="Times New Roman" w:cs="Times New Roman"/>
            <w:sz w:val="24"/>
            <w:szCs w:val="24"/>
            <w:u w:val="none"/>
          </w:rPr>
          <w:t>http://hdl.voced.edu.au/10707/156899</w:t>
        </w:r>
      </w:hyperlink>
      <w:r w:rsidRPr="00461530">
        <w:rPr>
          <w:rFonts w:ascii="Times New Roman" w:hAnsi="Times New Roman" w:cs="Times New Roman"/>
          <w:sz w:val="24"/>
          <w:szCs w:val="24"/>
        </w:rPr>
        <w:t>.</w:t>
      </w:r>
    </w:p>
    <w:p w14:paraId="1F3689DC" w14:textId="77777777" w:rsidR="007C2D57" w:rsidRPr="00461530" w:rsidRDefault="007C2D57" w:rsidP="00461530">
      <w:pPr>
        <w:spacing w:line="276" w:lineRule="auto"/>
        <w:ind w:left="720" w:hanging="720"/>
        <w:jc w:val="both"/>
        <w:rPr>
          <w:rFonts w:ascii="Times New Roman" w:hAnsi="Times New Roman" w:cs="Times New Roman"/>
          <w:sz w:val="24"/>
          <w:szCs w:val="24"/>
        </w:rPr>
      </w:pPr>
      <w:r w:rsidRPr="00461530">
        <w:rPr>
          <w:rFonts w:ascii="Times New Roman" w:hAnsi="Times New Roman" w:cs="Times New Roman"/>
          <w:sz w:val="24"/>
          <w:szCs w:val="24"/>
        </w:rPr>
        <w:t xml:space="preserve">Stanley, J. C. (1981). The predictive value of the SAT for brilliant seventh- and eighth-graders. </w:t>
      </w:r>
      <w:r w:rsidRPr="00461530">
        <w:rPr>
          <w:rFonts w:ascii="Times New Roman" w:hAnsi="Times New Roman" w:cs="Times New Roman"/>
          <w:i/>
          <w:sz w:val="24"/>
          <w:szCs w:val="24"/>
        </w:rPr>
        <w:t>The International Schools Journal</w:t>
      </w:r>
      <w:r w:rsidRPr="00461530">
        <w:rPr>
          <w:rFonts w:ascii="Times New Roman" w:hAnsi="Times New Roman" w:cs="Times New Roman"/>
          <w:sz w:val="24"/>
          <w:szCs w:val="24"/>
        </w:rPr>
        <w:t xml:space="preserve">, 39. </w:t>
      </w:r>
      <w:hyperlink r:id="rId45" w:history="1">
        <w:r w:rsidRPr="00461530">
          <w:rPr>
            <w:rStyle w:val="Hyperlink"/>
            <w:rFonts w:ascii="Times New Roman" w:hAnsi="Times New Roman" w:cs="Times New Roman"/>
            <w:sz w:val="24"/>
            <w:szCs w:val="24"/>
            <w:u w:val="none"/>
          </w:rPr>
          <w:t>http://176.9.41.242/doc/iq/high/smpy/1981</w:t>
        </w:r>
      </w:hyperlink>
      <w:r w:rsidRPr="00461530">
        <w:rPr>
          <w:rFonts w:ascii="Times New Roman" w:hAnsi="Times New Roman" w:cs="Times New Roman"/>
          <w:sz w:val="24"/>
          <w:szCs w:val="24"/>
        </w:rPr>
        <w:t>.</w:t>
      </w:r>
    </w:p>
    <w:p w14:paraId="0A538CCD" w14:textId="77777777" w:rsidR="007C2D57" w:rsidRPr="00461530" w:rsidRDefault="007C2D57" w:rsidP="00461530">
      <w:pPr>
        <w:spacing w:line="276" w:lineRule="auto"/>
        <w:ind w:left="720" w:hanging="720"/>
        <w:jc w:val="both"/>
        <w:rPr>
          <w:rFonts w:ascii="Times New Roman" w:hAnsi="Times New Roman" w:cs="Times New Roman"/>
          <w:sz w:val="24"/>
          <w:szCs w:val="24"/>
        </w:rPr>
      </w:pPr>
      <w:proofErr w:type="spellStart"/>
      <w:r w:rsidRPr="00461530">
        <w:rPr>
          <w:rFonts w:ascii="Times New Roman" w:hAnsi="Times New Roman" w:cs="Times New Roman"/>
          <w:sz w:val="24"/>
          <w:szCs w:val="24"/>
        </w:rPr>
        <w:t>Udim</w:t>
      </w:r>
      <w:proofErr w:type="spellEnd"/>
      <w:r w:rsidRPr="00461530">
        <w:rPr>
          <w:rFonts w:ascii="Times New Roman" w:hAnsi="Times New Roman" w:cs="Times New Roman"/>
          <w:sz w:val="24"/>
          <w:szCs w:val="24"/>
        </w:rPr>
        <w:t xml:space="preserve">, D. K., Abubakar, U., &amp; Essien, J. O. (2018). An in-depth evaluation of the issue of examination malpractice in </w:t>
      </w:r>
      <w:r w:rsidRPr="00461530">
        <w:rPr>
          <w:rFonts w:ascii="Times New Roman" w:hAnsi="Times New Roman" w:cs="Times New Roman"/>
          <w:i/>
          <w:sz w:val="24"/>
          <w:szCs w:val="24"/>
        </w:rPr>
        <w:t>Nigeria. Research in Pedagogy</w:t>
      </w:r>
      <w:r w:rsidRPr="00461530">
        <w:rPr>
          <w:rFonts w:ascii="Times New Roman" w:hAnsi="Times New Roman" w:cs="Times New Roman"/>
          <w:sz w:val="24"/>
          <w:szCs w:val="24"/>
        </w:rPr>
        <w:t>, 8(2), 204-213. DOI: 10.17810/2015.84</w:t>
      </w:r>
    </w:p>
    <w:p w14:paraId="424D4819" w14:textId="77777777" w:rsidR="007C2D57" w:rsidRPr="00461530" w:rsidRDefault="007C2D57" w:rsidP="00461530">
      <w:pPr>
        <w:spacing w:line="276" w:lineRule="auto"/>
        <w:ind w:left="720" w:hanging="720"/>
        <w:jc w:val="both"/>
        <w:rPr>
          <w:rFonts w:ascii="Times New Roman" w:hAnsi="Times New Roman" w:cs="Times New Roman"/>
          <w:sz w:val="24"/>
          <w:szCs w:val="24"/>
        </w:rPr>
      </w:pPr>
      <w:r w:rsidRPr="00461530">
        <w:rPr>
          <w:rFonts w:ascii="Times New Roman" w:hAnsi="Times New Roman" w:cs="Times New Roman"/>
          <w:sz w:val="24"/>
          <w:szCs w:val="24"/>
        </w:rPr>
        <w:t>Wilkinson, D., Zhang, J., &amp; Parker, M. (2011). Predictive validity of the undergraduate medicine and health sciences admission test for medical students’ academic performance</w:t>
      </w:r>
      <w:r w:rsidRPr="00461530">
        <w:rPr>
          <w:rFonts w:ascii="Times New Roman" w:hAnsi="Times New Roman" w:cs="Times New Roman"/>
          <w:i/>
          <w:sz w:val="24"/>
          <w:szCs w:val="24"/>
        </w:rPr>
        <w:t xml:space="preserve">. Medical Journal of Australia, </w:t>
      </w:r>
      <w:r w:rsidRPr="00461530">
        <w:rPr>
          <w:rFonts w:ascii="Times New Roman" w:hAnsi="Times New Roman" w:cs="Times New Roman"/>
          <w:sz w:val="24"/>
          <w:szCs w:val="24"/>
        </w:rPr>
        <w:t>194(7), 341-344. https://doi.org/10.5694/j.1326-5377.2011.tb03002.x</w:t>
      </w:r>
    </w:p>
    <w:p w14:paraId="5B4621ED" w14:textId="77777777" w:rsidR="00A36470" w:rsidRDefault="00A36470" w:rsidP="001602EE">
      <w:pPr>
        <w:spacing w:line="360" w:lineRule="auto"/>
        <w:ind w:left="720" w:hanging="720"/>
        <w:rPr>
          <w:rFonts w:ascii="Times New Roman" w:hAnsi="Times New Roman" w:cs="Times New Roman"/>
          <w:sz w:val="24"/>
          <w:szCs w:val="24"/>
        </w:rPr>
        <w:sectPr w:rsidR="00A36470" w:rsidSect="001E6327">
          <w:type w:val="continuous"/>
          <w:pgSz w:w="12240" w:h="15840"/>
          <w:pgMar w:top="1170" w:right="990" w:bottom="1170" w:left="990" w:header="450" w:footer="720" w:gutter="0"/>
          <w:cols w:num="2" w:space="720"/>
          <w:docGrid w:linePitch="360"/>
        </w:sectPr>
      </w:pPr>
    </w:p>
    <w:p w14:paraId="0EF4034A" w14:textId="2396624E" w:rsidR="00333487" w:rsidRPr="002944E9" w:rsidRDefault="00333487" w:rsidP="001602EE">
      <w:pPr>
        <w:spacing w:line="360" w:lineRule="auto"/>
        <w:ind w:left="720" w:hanging="720"/>
        <w:rPr>
          <w:rFonts w:ascii="Times New Roman" w:hAnsi="Times New Roman" w:cs="Times New Roman"/>
          <w:sz w:val="24"/>
          <w:szCs w:val="24"/>
        </w:rPr>
      </w:pPr>
    </w:p>
    <w:sectPr w:rsidR="00333487" w:rsidRPr="002944E9" w:rsidSect="00A36470">
      <w:type w:val="continuous"/>
      <w:pgSz w:w="12240" w:h="15840"/>
      <w:pgMar w:top="1170" w:right="990" w:bottom="1170"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81A43" w14:textId="77777777" w:rsidR="00410819" w:rsidRDefault="00410819">
      <w:pPr>
        <w:spacing w:line="240" w:lineRule="auto"/>
      </w:pPr>
      <w:r>
        <w:separator/>
      </w:r>
    </w:p>
  </w:endnote>
  <w:endnote w:type="continuationSeparator" w:id="0">
    <w:p w14:paraId="3A053F0B" w14:textId="77777777" w:rsidR="00410819" w:rsidRDefault="0041081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9423211"/>
      <w:docPartObj>
        <w:docPartGallery w:val="Page Numbers (Bottom of Page)"/>
        <w:docPartUnique/>
      </w:docPartObj>
    </w:sdtPr>
    <w:sdtEndPr>
      <w:rPr>
        <w:noProof/>
      </w:rPr>
    </w:sdtEndPr>
    <w:sdtContent>
      <w:p w14:paraId="4FD81D92" w14:textId="7DA8759E" w:rsidR="00540922" w:rsidRDefault="00540922">
        <w:pPr>
          <w:pStyle w:val="Footer"/>
          <w:jc w:val="center"/>
        </w:pPr>
        <w:r>
          <w:fldChar w:fldCharType="begin"/>
        </w:r>
        <w:r>
          <w:instrText xml:space="preserve"> PAGE   \* MERGEFORMAT </w:instrText>
        </w:r>
        <w:r>
          <w:fldChar w:fldCharType="separate"/>
        </w:r>
        <w:r w:rsidR="00BD79DD">
          <w:rPr>
            <w:noProof/>
          </w:rPr>
          <w:t>2</w:t>
        </w:r>
        <w:r>
          <w:rPr>
            <w:noProof/>
          </w:rPr>
          <w:fldChar w:fldCharType="end"/>
        </w:r>
      </w:p>
    </w:sdtContent>
  </w:sdt>
  <w:p w14:paraId="4908BC4B" w14:textId="77777777" w:rsidR="00540922" w:rsidRDefault="005409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7230885"/>
      <w:docPartObj>
        <w:docPartGallery w:val="Page Numbers (Bottom of Page)"/>
        <w:docPartUnique/>
      </w:docPartObj>
    </w:sdtPr>
    <w:sdtEndPr>
      <w:rPr>
        <w:noProof/>
      </w:rPr>
    </w:sdtEndPr>
    <w:sdtContent>
      <w:p w14:paraId="42807D50" w14:textId="0FF1FD86" w:rsidR="009D046A" w:rsidRDefault="009D046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0AB30EC" w14:textId="77777777" w:rsidR="009D046A" w:rsidRDefault="009D04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3CB10" w14:textId="77777777" w:rsidR="00410819" w:rsidRDefault="00410819">
      <w:pPr>
        <w:spacing w:after="0"/>
      </w:pPr>
      <w:r>
        <w:separator/>
      </w:r>
    </w:p>
  </w:footnote>
  <w:footnote w:type="continuationSeparator" w:id="0">
    <w:p w14:paraId="3093EB97" w14:textId="77777777" w:rsidR="00410819" w:rsidRDefault="0041081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D1ABE" w14:textId="5A474F1A" w:rsidR="00076039" w:rsidRPr="001E6327" w:rsidRDefault="00F119F0">
    <w:pPr>
      <w:pStyle w:val="Header"/>
    </w:pPr>
    <w:proofErr w:type="spellStart"/>
    <w:r w:rsidRPr="001E6327">
      <w:rPr>
        <w:bCs/>
        <w:i/>
      </w:rPr>
      <w:t>Abuhay</w:t>
    </w:r>
    <w:proofErr w:type="spellEnd"/>
    <w:r w:rsidRPr="001E6327">
      <w:rPr>
        <w:bCs/>
        <w:i/>
      </w:rPr>
      <w:t xml:space="preserve"> M., Amare S.                                                               Advanced Journal of Interdisciplinary Studies 9(2025) </w:t>
    </w:r>
    <w:r w:rsidR="009D046A" w:rsidRPr="001E6327">
      <w:rPr>
        <w:bCs/>
        <w:i/>
      </w:rPr>
      <w:t>2</w:t>
    </w:r>
    <w:r w:rsidR="000F1044">
      <w:rPr>
        <w:bCs/>
        <w:i/>
      </w:rPr>
      <w:t>04</w:t>
    </w:r>
    <w:r w:rsidR="009D046A" w:rsidRPr="001E6327">
      <w:rPr>
        <w:bCs/>
        <w:i/>
      </w:rPr>
      <w:t>6</w:t>
    </w:r>
    <w:r w:rsidRPr="001E6327">
      <w:rPr>
        <w:bCs/>
        <w:i/>
      </w:rPr>
      <w:t>-</w:t>
    </w:r>
    <w:r w:rsidR="001E6327" w:rsidRPr="001E6327">
      <w:rPr>
        <w:bCs/>
        <w:i/>
      </w:rPr>
      <w:t>2</w:t>
    </w:r>
    <w:r w:rsidR="000F1044">
      <w:rPr>
        <w:bCs/>
        <w:i/>
      </w:rPr>
      <w:t>06</w:t>
    </w:r>
    <w:r w:rsidR="001E6327" w:rsidRPr="001E6327">
      <w:rPr>
        <w:bCs/>
        <w:i/>
      </w:rPr>
      <w:t>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shd w:val="clear" w:color="auto" w:fill="FFC000"/>
      <w:tblLook w:val="0000" w:firstRow="0" w:lastRow="0" w:firstColumn="0" w:lastColumn="0" w:noHBand="0" w:noVBand="0"/>
    </w:tblPr>
    <w:tblGrid>
      <w:gridCol w:w="5604"/>
    </w:tblGrid>
    <w:tr w:rsidR="00076039" w:rsidRPr="00076039" w14:paraId="31F3B894" w14:textId="77777777" w:rsidTr="009D3432">
      <w:trPr>
        <w:trHeight w:val="503"/>
        <w:jc w:val="center"/>
      </w:trPr>
      <w:tc>
        <w:tcPr>
          <w:tcW w:w="5604" w:type="dxa"/>
          <w:shd w:val="clear" w:color="auto" w:fill="FFC000"/>
        </w:tcPr>
        <w:p w14:paraId="259DCDFA" w14:textId="0E32E233" w:rsidR="00076039" w:rsidRPr="00076039" w:rsidRDefault="00076039" w:rsidP="00076039">
          <w:pPr>
            <w:spacing w:before="120" w:after="200" w:line="276" w:lineRule="auto"/>
            <w:ind w:right="-720"/>
            <w:outlineLvl w:val="0"/>
            <w:rPr>
              <w:rFonts w:ascii="Times New Roman" w:eastAsia="Times New Roman" w:hAnsi="Times New Roman" w:cs="Cordia New"/>
              <w:bCs/>
              <w:i/>
              <w:kern w:val="36"/>
              <w:sz w:val="20"/>
              <w:szCs w:val="20"/>
              <w:lang w:eastAsia="zh-CN"/>
            </w:rPr>
          </w:pPr>
          <w:r w:rsidRPr="003579A4">
            <w:rPr>
              <w:rFonts w:ascii="Times New Roman" w:eastAsia="Times New Roman" w:hAnsi="Times New Roman" w:cs="Cordia New"/>
              <w:bCs/>
              <w:i/>
              <w:kern w:val="36"/>
              <w:sz w:val="20"/>
              <w:szCs w:val="20"/>
              <w:lang w:eastAsia="zh-CN"/>
            </w:rPr>
            <w:t>Advanced Journal of Interd</w:t>
          </w:r>
          <w:r w:rsidRPr="003579A4">
            <w:rPr>
              <w:rFonts w:ascii="Times New Roman" w:eastAsia="Times New Roman" w:hAnsi="Times New Roman" w:cs="Cordia New"/>
              <w:bCs/>
              <w:i/>
              <w:kern w:val="36"/>
              <w:sz w:val="20"/>
              <w:szCs w:val="20"/>
              <w:lang w:eastAsia="zh-CN" w:bidi="th-TH"/>
            </w:rPr>
            <w:t xml:space="preserve">isciplinary Studies 9(2025) </w:t>
          </w:r>
          <w:r w:rsidR="009534D7" w:rsidRPr="003579A4">
            <w:rPr>
              <w:rFonts w:ascii="Times New Roman" w:eastAsia="Times New Roman" w:hAnsi="Times New Roman" w:cs="Cordia New"/>
              <w:bCs/>
              <w:i/>
              <w:kern w:val="36"/>
              <w:sz w:val="20"/>
              <w:szCs w:val="20"/>
              <w:lang w:eastAsia="zh-CN" w:bidi="th-TH"/>
            </w:rPr>
            <w:t>2</w:t>
          </w:r>
          <w:r w:rsidR="009136A5">
            <w:rPr>
              <w:rFonts w:ascii="Times New Roman" w:eastAsia="Times New Roman" w:hAnsi="Times New Roman" w:cs="Cordia New"/>
              <w:bCs/>
              <w:i/>
              <w:kern w:val="36"/>
              <w:sz w:val="20"/>
              <w:szCs w:val="20"/>
              <w:lang w:eastAsia="zh-CN" w:bidi="th-TH"/>
            </w:rPr>
            <w:t>04</w:t>
          </w:r>
          <w:r w:rsidR="009534D7" w:rsidRPr="003579A4">
            <w:rPr>
              <w:rFonts w:ascii="Times New Roman" w:eastAsia="Times New Roman" w:hAnsi="Times New Roman" w:cs="Cordia New"/>
              <w:bCs/>
              <w:i/>
              <w:kern w:val="36"/>
              <w:sz w:val="20"/>
              <w:szCs w:val="20"/>
              <w:lang w:eastAsia="zh-CN" w:bidi="th-TH"/>
            </w:rPr>
            <w:t>6</w:t>
          </w:r>
          <w:r w:rsidRPr="003579A4">
            <w:rPr>
              <w:rFonts w:ascii="Times New Roman" w:eastAsia="Times New Roman" w:hAnsi="Times New Roman" w:cs="Cordia New"/>
              <w:bCs/>
              <w:i/>
              <w:kern w:val="36"/>
              <w:sz w:val="20"/>
              <w:szCs w:val="20"/>
              <w:lang w:eastAsia="zh-CN" w:bidi="th-TH"/>
            </w:rPr>
            <w:t>-</w:t>
          </w:r>
          <w:r w:rsidR="003579A4" w:rsidRPr="003579A4">
            <w:rPr>
              <w:rFonts w:ascii="Times New Roman" w:eastAsia="Times New Roman" w:hAnsi="Times New Roman" w:cs="Cordia New"/>
              <w:bCs/>
              <w:i/>
              <w:kern w:val="36"/>
              <w:sz w:val="20"/>
              <w:szCs w:val="20"/>
              <w:lang w:eastAsia="zh-CN" w:bidi="th-TH"/>
            </w:rPr>
            <w:t>2</w:t>
          </w:r>
          <w:r w:rsidR="000F1044">
            <w:rPr>
              <w:rFonts w:ascii="Times New Roman" w:eastAsia="Times New Roman" w:hAnsi="Times New Roman" w:cs="Cordia New"/>
              <w:bCs/>
              <w:i/>
              <w:kern w:val="36"/>
              <w:sz w:val="20"/>
              <w:szCs w:val="20"/>
              <w:lang w:eastAsia="zh-CN" w:bidi="th-TH"/>
            </w:rPr>
            <w:t>060</w:t>
          </w:r>
        </w:p>
      </w:tc>
    </w:tr>
  </w:tbl>
  <w:p w14:paraId="6DFCC78D" w14:textId="3B275C3F" w:rsidR="00076039" w:rsidRPr="00076039" w:rsidRDefault="00076039" w:rsidP="00076039">
    <w:pPr>
      <w:spacing w:before="120" w:after="0" w:line="360" w:lineRule="auto"/>
      <w:ind w:right="-720" w:hanging="806"/>
      <w:jc w:val="center"/>
      <w:outlineLvl w:val="0"/>
      <w:rPr>
        <w:rFonts w:ascii="Times New Roman" w:eastAsia="Times New Roman" w:hAnsi="Times New Roman" w:cs="Times New Roman"/>
        <w:b/>
        <w:bCs/>
        <w:kern w:val="36"/>
        <w:sz w:val="22"/>
        <w:szCs w:val="22"/>
      </w:rPr>
    </w:pPr>
    <w:r w:rsidRPr="00076039">
      <w:rPr>
        <w:rFonts w:ascii="Calibri" w:eastAsia="Calibri" w:hAnsi="Calibri" w:cs="Times New Roman"/>
        <w:noProof/>
        <w:sz w:val="22"/>
        <w:szCs w:val="22"/>
      </w:rPr>
      <mc:AlternateContent>
        <mc:Choice Requires="wps">
          <w:drawing>
            <wp:anchor distT="0" distB="0" distL="114300" distR="114300" simplePos="0" relativeHeight="251661312" behindDoc="0" locked="0" layoutInCell="1" allowOverlap="1" wp14:anchorId="77CFC5BE" wp14:editId="78E20068">
              <wp:simplePos x="0" y="0"/>
              <wp:positionH relativeFrom="column">
                <wp:posOffset>-241935</wp:posOffset>
              </wp:positionH>
              <wp:positionV relativeFrom="paragraph">
                <wp:posOffset>156210</wp:posOffset>
              </wp:positionV>
              <wp:extent cx="499745" cy="21463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9745" cy="214630"/>
                      </a:xfrm>
                      <a:prstGeom prst="rect">
                        <a:avLst/>
                      </a:prstGeom>
                      <a:solidFill>
                        <a:sysClr val="window" lastClr="FFFFFF"/>
                      </a:solidFill>
                      <a:ln w="6350">
                        <a:noFill/>
                      </a:ln>
                    </wps:spPr>
                    <wps:txbx>
                      <w:txbxContent>
                        <w:p w14:paraId="4F960C45" w14:textId="77777777" w:rsidR="00076039" w:rsidRPr="00246FB9" w:rsidRDefault="00076039" w:rsidP="00076039">
                          <w:pPr>
                            <w:jc w:val="center"/>
                            <w:rPr>
                              <w:b/>
                              <w:sz w:val="20"/>
                            </w:rPr>
                          </w:pPr>
                          <w:r w:rsidRPr="00246FB9">
                            <w:rPr>
                              <w:b/>
                              <w:sz w:val="20"/>
                            </w:rPr>
                            <w:t>DMU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CFC5BE" id="_x0000_t202" coordsize="21600,21600" o:spt="202" path="m,l,21600r21600,l21600,xe">
              <v:stroke joinstyle="miter"/>
              <v:path gradientshapeok="t" o:connecttype="rect"/>
            </v:shapetype>
            <v:shape id="Text Box 9" o:spid="_x0000_s1029" type="#_x0000_t202" style="position:absolute;left:0;text-align:left;margin-left:-19.05pt;margin-top:12.3pt;width:39.35pt;height:16.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" fillcolor="window" stroked="f" strokeweight=".5pt">
              <v:textbox>
                <w:txbxContent>
                  <w:p w14:paraId="4F960C45" w14:textId="77777777" w:rsidR="00076039" w:rsidRPr="00246FB9" w:rsidRDefault="00076039" w:rsidP="00076039">
                    <w:pPr>
                      <w:jc w:val="center"/>
                      <w:rPr>
                        <w:b/>
                        <w:sz w:val="20"/>
                      </w:rPr>
                    </w:pPr>
                    <w:r w:rsidRPr="00246FB9">
                      <w:rPr>
                        <w:b/>
                        <w:sz w:val="20"/>
                      </w:rPr>
                      <w:t>DMU</w:t>
                    </w:r>
                  </w:p>
                </w:txbxContent>
              </v:textbox>
            </v:shape>
          </w:pict>
        </mc:Fallback>
      </mc:AlternateContent>
    </w:r>
    <w:r w:rsidRPr="00076039">
      <w:rPr>
        <w:rFonts w:ascii="Calibri" w:eastAsia="Calibri" w:hAnsi="Calibri" w:cs="Times New Roman"/>
        <w:noProof/>
        <w:sz w:val="22"/>
        <w:szCs w:val="22"/>
      </w:rPr>
      <mc:AlternateContent>
        <mc:Choice Requires="wps">
          <w:drawing>
            <wp:anchor distT="0" distB="0" distL="114300" distR="114300" simplePos="0" relativeHeight="251662336" behindDoc="0" locked="0" layoutInCell="1" allowOverlap="1" wp14:anchorId="113695B0" wp14:editId="761936CF">
              <wp:simplePos x="0" y="0"/>
              <wp:positionH relativeFrom="column">
                <wp:posOffset>5528945</wp:posOffset>
              </wp:positionH>
              <wp:positionV relativeFrom="paragraph">
                <wp:posOffset>139065</wp:posOffset>
              </wp:positionV>
              <wp:extent cx="956945" cy="223520"/>
              <wp:effectExtent l="0" t="0" r="0" b="508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6945" cy="223520"/>
                      </a:xfrm>
                      <a:prstGeom prst="rect">
                        <a:avLst/>
                      </a:prstGeom>
                      <a:solidFill>
                        <a:sysClr val="window" lastClr="FFFFFF"/>
                      </a:solidFill>
                      <a:ln w="6350">
                        <a:noFill/>
                      </a:ln>
                    </wps:spPr>
                    <wps:txbx>
                      <w:txbxContent>
                        <w:p w14:paraId="1C646693" w14:textId="77777777" w:rsidR="00076039" w:rsidRPr="00246FB9" w:rsidRDefault="00076039" w:rsidP="00076039">
                          <w:pPr>
                            <w:jc w:val="center"/>
                            <w:rPr>
                              <w:b/>
                              <w:sz w:val="20"/>
                            </w:rPr>
                          </w:pPr>
                          <w:r>
                            <w:rPr>
                              <w:b/>
                              <w:sz w:val="20"/>
                            </w:rPr>
                            <w:t>AJIDS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3695B0" id="Text Box 8" o:spid="_x0000_s1030" type="#_x0000_t202" style="position:absolute;left:0;text-align:left;margin-left:435.35pt;margin-top:10.95pt;width:75.35pt;height:17.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" fillcolor="window" stroked="f" strokeweight=".5pt">
              <v:textbox>
                <w:txbxContent>
                  <w:p w14:paraId="1C646693" w14:textId="77777777" w:rsidR="00076039" w:rsidRPr="00246FB9" w:rsidRDefault="00076039" w:rsidP="00076039">
                    <w:pPr>
                      <w:jc w:val="center"/>
                      <w:rPr>
                        <w:b/>
                        <w:sz w:val="20"/>
                      </w:rPr>
                    </w:pPr>
                    <w:r>
                      <w:rPr>
                        <w:b/>
                        <w:sz w:val="20"/>
                      </w:rPr>
                      <w:t>AJIDS</w:t>
                    </w:r>
                  </w:p>
                </w:txbxContent>
              </v:textbox>
            </v:shape>
          </w:pict>
        </mc:Fallback>
      </mc:AlternateContent>
    </w:r>
    <w:r w:rsidRPr="00076039">
      <w:rPr>
        <w:rFonts w:ascii="Calibri" w:eastAsia="Calibri" w:hAnsi="Calibri" w:cs="Times New Roman"/>
        <w:noProof/>
        <w:sz w:val="22"/>
        <w:szCs w:val="22"/>
      </w:rPr>
      <w:drawing>
        <wp:anchor distT="0" distB="0" distL="114300" distR="114300" simplePos="0" relativeHeight="251659264" behindDoc="0" locked="0" layoutInCell="1" allowOverlap="1" wp14:anchorId="4058940B" wp14:editId="213432C1">
          <wp:simplePos x="0" y="0"/>
          <wp:positionH relativeFrom="column">
            <wp:posOffset>5744210</wp:posOffset>
          </wp:positionH>
          <wp:positionV relativeFrom="paragraph">
            <wp:posOffset>-387985</wp:posOffset>
          </wp:positionV>
          <wp:extent cx="560070" cy="522605"/>
          <wp:effectExtent l="0" t="0" r="0" b="0"/>
          <wp:wrapThrough wrapText="bothSides">
            <wp:wrapPolygon edited="0">
              <wp:start x="0" y="0"/>
              <wp:lineTo x="0" y="20471"/>
              <wp:lineTo x="20571" y="20471"/>
              <wp:lineTo x="20571" y="0"/>
              <wp:lineTo x="0" y="0"/>
            </wp:wrapPolygon>
          </wp:wrapThrough>
          <wp:docPr id="2" name="Picture 2" descr="Description: F:\Accepted Papers V-6-I-2\JI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F:\Accepted Papers V-6-I-2\JI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0070" cy="5226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76039">
      <w:rPr>
        <w:rFonts w:ascii="Calibri" w:eastAsia="Calibri" w:hAnsi="Calibri" w:cs="Times New Roman"/>
        <w:noProof/>
        <w:sz w:val="22"/>
        <w:szCs w:val="22"/>
      </w:rPr>
      <w:drawing>
        <wp:anchor distT="0" distB="0" distL="114300" distR="114300" simplePos="0" relativeHeight="251660288" behindDoc="0" locked="0" layoutInCell="1" allowOverlap="1" wp14:anchorId="6A8BD7E6" wp14:editId="11E67ED4">
          <wp:simplePos x="0" y="0"/>
          <wp:positionH relativeFrom="column">
            <wp:posOffset>-294005</wp:posOffset>
          </wp:positionH>
          <wp:positionV relativeFrom="paragraph">
            <wp:posOffset>-446405</wp:posOffset>
          </wp:positionV>
          <wp:extent cx="672465" cy="643255"/>
          <wp:effectExtent l="0" t="0" r="0" b="0"/>
          <wp:wrapThrough wrapText="bothSides">
            <wp:wrapPolygon edited="0">
              <wp:start x="0" y="0"/>
              <wp:lineTo x="0" y="21110"/>
              <wp:lineTo x="20805" y="21110"/>
              <wp:lineTo x="20805" y="0"/>
              <wp:lineTo x="0" y="0"/>
            </wp:wrapPolygon>
          </wp:wrapThrough>
          <wp:docPr id="3" name="Picture 3" descr="Description: Debre Markos University | 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Debre Markos University | Faceboo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72465" cy="6432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76039">
      <w:rPr>
        <w:rFonts w:ascii="Times New Roman" w:eastAsia="Times New Roman" w:hAnsi="Times New Roman" w:cs="Times New Roman"/>
        <w:b/>
        <w:bCs/>
        <w:kern w:val="36"/>
        <w:sz w:val="22"/>
        <w:szCs w:val="22"/>
      </w:rPr>
      <w:t xml:space="preserve"> </w:t>
    </w:r>
    <w:r w:rsidRPr="00076039">
      <w:rPr>
        <w:rFonts w:ascii="Times New Roman" w:eastAsia="Calibri" w:hAnsi="Times New Roman" w:cs="Times New Roman"/>
        <w:color w:val="000000"/>
        <w:sz w:val="20"/>
        <w:szCs w:val="20"/>
      </w:rPr>
      <w:t>Journal homepage:</w:t>
    </w:r>
    <w:r w:rsidRPr="00076039">
      <w:rPr>
        <w:rFonts w:ascii="Times New Roman" w:eastAsia="Calibri" w:hAnsi="Times New Roman" w:cs="Times New Roman"/>
        <w:sz w:val="20"/>
        <w:szCs w:val="20"/>
      </w:rPr>
      <w:t xml:space="preserve"> </w:t>
    </w:r>
    <w:hyperlink r:id="rId3" w:history="1">
      <w:r w:rsidR="009D046A" w:rsidRPr="00A61DDD">
        <w:rPr>
          <w:rStyle w:val="Hyperlink"/>
          <w:rFonts w:ascii="Times New Roman" w:eastAsia="Times New Roman" w:hAnsi="Times New Roman" w:cs="Times New Roman"/>
          <w:sz w:val="20"/>
          <w:szCs w:val="20"/>
        </w:rPr>
        <w:t>www.ajids.dmu.edu.et</w:t>
      </w:r>
    </w:hyperlink>
  </w:p>
  <w:p w14:paraId="5E3BAB53" w14:textId="02393FC6" w:rsidR="00076039" w:rsidRPr="0036492A" w:rsidRDefault="00076039" w:rsidP="0036492A">
    <w:pPr>
      <w:spacing w:after="0" w:line="360" w:lineRule="auto"/>
      <w:ind w:right="-720" w:hanging="806"/>
      <w:jc w:val="center"/>
      <w:outlineLvl w:val="0"/>
      <w:rPr>
        <w:rFonts w:ascii="Times New Roman" w:eastAsia="Times New Roman" w:hAnsi="Times New Roman" w:cs="Times New Roman"/>
        <w:b/>
        <w:bCs/>
        <w:kern w:val="36"/>
        <w:sz w:val="20"/>
        <w:szCs w:val="20"/>
      </w:rPr>
    </w:pPr>
    <w:r w:rsidRPr="00076039">
      <w:rPr>
        <w:rFonts w:ascii="Times New Roman" w:eastAsia="Times New Roman" w:hAnsi="Times New Roman" w:cs="Times New Roman"/>
        <w:b/>
        <w:bCs/>
        <w:kern w:val="36"/>
        <w:sz w:val="20"/>
        <w:szCs w:val="20"/>
      </w:rPr>
      <w:t>Volume 9(1), June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ED0B237"/>
    <w:multiLevelType w:val="singleLevel"/>
    <w:tmpl w:val="9ED0B237"/>
    <w:lvl w:ilvl="0">
      <w:start w:val="1"/>
      <w:numFmt w:val="decimal"/>
      <w:suff w:val="space"/>
      <w:lvlText w:val="%1."/>
      <w:lvlJc w:val="left"/>
    </w:lvl>
  </w:abstractNum>
  <w:abstractNum w:abstractNumId="1" w15:restartNumberingAfterBreak="0">
    <w:nsid w:val="F0FFE7BF"/>
    <w:multiLevelType w:val="singleLevel"/>
    <w:tmpl w:val="F0FFE7BF"/>
    <w:lvl w:ilvl="0">
      <w:start w:val="1"/>
      <w:numFmt w:val="decimal"/>
      <w:suff w:val="space"/>
      <w:lvlText w:val="%1."/>
      <w:lvlJc w:val="left"/>
    </w:lvl>
  </w:abstractNum>
  <w:abstractNum w:abstractNumId="2" w15:restartNumberingAfterBreak="0">
    <w:nsid w:val="029958BE"/>
    <w:multiLevelType w:val="multilevel"/>
    <w:tmpl w:val="5C12B7D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A5E64F1"/>
    <w:multiLevelType w:val="multilevel"/>
    <w:tmpl w:val="A7501740"/>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CAFFBBC"/>
    <w:multiLevelType w:val="singleLevel"/>
    <w:tmpl w:val="0CAFFBBC"/>
    <w:lvl w:ilvl="0">
      <w:start w:val="1"/>
      <w:numFmt w:val="decimal"/>
      <w:suff w:val="space"/>
      <w:lvlText w:val="%1."/>
      <w:lvlJc w:val="left"/>
    </w:lvl>
  </w:abstractNum>
  <w:abstractNum w:abstractNumId="5" w15:restartNumberingAfterBreak="0">
    <w:nsid w:val="0DB50092"/>
    <w:multiLevelType w:val="multilevel"/>
    <w:tmpl w:val="0DB50092"/>
    <w:lvl w:ilvl="0">
      <w:start w:val="1"/>
      <w:numFmt w:val="decimal"/>
      <w:lvlText w:val="%1."/>
      <w:lvlJc w:val="left"/>
      <w:pPr>
        <w:ind w:left="1080" w:hanging="360"/>
      </w:pPr>
      <w:rPr>
        <w:rFonts w:hint="default"/>
        <w:color w:val="010205"/>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195B6C55"/>
    <w:multiLevelType w:val="singleLevel"/>
    <w:tmpl w:val="195B6C55"/>
    <w:lvl w:ilvl="0">
      <w:start w:val="1"/>
      <w:numFmt w:val="decimal"/>
      <w:suff w:val="space"/>
      <w:lvlText w:val="%1."/>
      <w:lvlJc w:val="left"/>
    </w:lvl>
  </w:abstractNum>
  <w:abstractNum w:abstractNumId="7" w15:restartNumberingAfterBreak="0">
    <w:nsid w:val="1A946853"/>
    <w:multiLevelType w:val="multilevel"/>
    <w:tmpl w:val="1A946853"/>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280805CC"/>
    <w:multiLevelType w:val="hybridMultilevel"/>
    <w:tmpl w:val="47F29546"/>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B833E0"/>
    <w:multiLevelType w:val="hybridMultilevel"/>
    <w:tmpl w:val="824403CC"/>
    <w:lvl w:ilvl="0" w:tplc="BC36DAC0">
      <w:start w:val="1"/>
      <w:numFmt w:val="lowerLetter"/>
      <w:lvlText w:val="%1."/>
      <w:lvlJc w:val="left"/>
      <w:pPr>
        <w:ind w:left="765" w:hanging="360"/>
      </w:pPr>
      <w:rPr>
        <w:rFonts w:hint="default"/>
        <w:color w:val="010205"/>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0" w15:restartNumberingAfterBreak="0">
    <w:nsid w:val="40A77A9C"/>
    <w:multiLevelType w:val="multilevel"/>
    <w:tmpl w:val="5C12B7D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45CE385A"/>
    <w:multiLevelType w:val="multilevel"/>
    <w:tmpl w:val="45CE385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 w15:restartNumberingAfterBreak="0">
    <w:nsid w:val="4C366C70"/>
    <w:multiLevelType w:val="multilevel"/>
    <w:tmpl w:val="4DA8648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D6A17D5"/>
    <w:multiLevelType w:val="hybridMultilevel"/>
    <w:tmpl w:val="F42E4592"/>
    <w:lvl w:ilvl="0" w:tplc="B114C7D0">
      <w:start w:val="1"/>
      <w:numFmt w:val="low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373B59"/>
    <w:multiLevelType w:val="hybridMultilevel"/>
    <w:tmpl w:val="292A8E92"/>
    <w:lvl w:ilvl="0" w:tplc="8B9A26D6">
      <w:start w:val="1"/>
      <w:numFmt w:val="lowerLetter"/>
      <w:lvlText w:val="%1."/>
      <w:lvlJc w:val="left"/>
      <w:pPr>
        <w:ind w:left="405" w:hanging="360"/>
      </w:pPr>
      <w:rPr>
        <w:rFonts w:hint="default"/>
        <w:color w:val="010205"/>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5" w15:restartNumberingAfterBreak="0">
    <w:nsid w:val="4F5404F2"/>
    <w:multiLevelType w:val="hybridMultilevel"/>
    <w:tmpl w:val="FCAA8B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E60E81"/>
    <w:multiLevelType w:val="multilevel"/>
    <w:tmpl w:val="4DA86489"/>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B726F04"/>
    <w:multiLevelType w:val="hybridMultilevel"/>
    <w:tmpl w:val="EA96113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846EFE"/>
    <w:multiLevelType w:val="hybridMultilevel"/>
    <w:tmpl w:val="2C1A2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EE77BB4"/>
    <w:multiLevelType w:val="hybridMultilevel"/>
    <w:tmpl w:val="8DE049E2"/>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1001C9"/>
    <w:multiLevelType w:val="multilevel"/>
    <w:tmpl w:val="5C12B7D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6C7F0F91"/>
    <w:multiLevelType w:val="hybridMultilevel"/>
    <w:tmpl w:val="C0CE4C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2921AB3"/>
    <w:multiLevelType w:val="hybridMultilevel"/>
    <w:tmpl w:val="33A6B4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BE8392F"/>
    <w:multiLevelType w:val="multilevel"/>
    <w:tmpl w:val="A7501740"/>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399595953">
    <w:abstractNumId w:val="0"/>
  </w:num>
  <w:num w:numId="2" w16cid:durableId="942149725">
    <w:abstractNumId w:val="6"/>
  </w:num>
  <w:num w:numId="3" w16cid:durableId="757824710">
    <w:abstractNumId w:val="4"/>
  </w:num>
  <w:num w:numId="4" w16cid:durableId="1982225585">
    <w:abstractNumId w:val="1"/>
  </w:num>
  <w:num w:numId="5" w16cid:durableId="963656254">
    <w:abstractNumId w:val="5"/>
  </w:num>
  <w:num w:numId="6" w16cid:durableId="169032294">
    <w:abstractNumId w:val="7"/>
  </w:num>
  <w:num w:numId="7" w16cid:durableId="634065850">
    <w:abstractNumId w:val="11"/>
  </w:num>
  <w:num w:numId="8" w16cid:durableId="1526291731">
    <w:abstractNumId w:val="12"/>
  </w:num>
  <w:num w:numId="9" w16cid:durableId="613370320">
    <w:abstractNumId w:val="16"/>
  </w:num>
  <w:num w:numId="10" w16cid:durableId="439106386">
    <w:abstractNumId w:val="21"/>
  </w:num>
  <w:num w:numId="11" w16cid:durableId="867061203">
    <w:abstractNumId w:val="10"/>
  </w:num>
  <w:num w:numId="12" w16cid:durableId="361053979">
    <w:abstractNumId w:val="20"/>
  </w:num>
  <w:num w:numId="13" w16cid:durableId="247734638">
    <w:abstractNumId w:val="2"/>
  </w:num>
  <w:num w:numId="14" w16cid:durableId="459540530">
    <w:abstractNumId w:val="18"/>
  </w:num>
  <w:num w:numId="15" w16cid:durableId="837188444">
    <w:abstractNumId w:val="19"/>
  </w:num>
  <w:num w:numId="16" w16cid:durableId="1136987802">
    <w:abstractNumId w:val="13"/>
  </w:num>
  <w:num w:numId="17" w16cid:durableId="1400440580">
    <w:abstractNumId w:val="22"/>
  </w:num>
  <w:num w:numId="18" w16cid:durableId="827288818">
    <w:abstractNumId w:val="14"/>
  </w:num>
  <w:num w:numId="19" w16cid:durableId="373818197">
    <w:abstractNumId w:val="15"/>
  </w:num>
  <w:num w:numId="20" w16cid:durableId="39522461">
    <w:abstractNumId w:val="9"/>
  </w:num>
  <w:num w:numId="21" w16cid:durableId="658659971">
    <w:abstractNumId w:val="8"/>
  </w:num>
  <w:num w:numId="22" w16cid:durableId="1616055564">
    <w:abstractNumId w:val="17"/>
  </w:num>
  <w:num w:numId="23" w16cid:durableId="188877086">
    <w:abstractNumId w:val="23"/>
  </w:num>
  <w:num w:numId="24" w16cid:durableId="9255003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1286"/>
    <w:rsid w:val="00001BB3"/>
    <w:rsid w:val="00004205"/>
    <w:rsid w:val="0000491A"/>
    <w:rsid w:val="00005A2B"/>
    <w:rsid w:val="00006CBE"/>
    <w:rsid w:val="00006EB9"/>
    <w:rsid w:val="000075EE"/>
    <w:rsid w:val="00007686"/>
    <w:rsid w:val="00007F28"/>
    <w:rsid w:val="0001017A"/>
    <w:rsid w:val="00010623"/>
    <w:rsid w:val="000116DC"/>
    <w:rsid w:val="00012D8C"/>
    <w:rsid w:val="00015ACE"/>
    <w:rsid w:val="0001618F"/>
    <w:rsid w:val="00020561"/>
    <w:rsid w:val="00021BB7"/>
    <w:rsid w:val="00021C40"/>
    <w:rsid w:val="000239C4"/>
    <w:rsid w:val="0002418C"/>
    <w:rsid w:val="00025F1C"/>
    <w:rsid w:val="00026FE5"/>
    <w:rsid w:val="00027584"/>
    <w:rsid w:val="000300E9"/>
    <w:rsid w:val="00030231"/>
    <w:rsid w:val="00032F17"/>
    <w:rsid w:val="000333F2"/>
    <w:rsid w:val="00033616"/>
    <w:rsid w:val="00037AB7"/>
    <w:rsid w:val="000412C6"/>
    <w:rsid w:val="00043870"/>
    <w:rsid w:val="0004457C"/>
    <w:rsid w:val="000502CA"/>
    <w:rsid w:val="00050911"/>
    <w:rsid w:val="00050BEF"/>
    <w:rsid w:val="00052223"/>
    <w:rsid w:val="00053181"/>
    <w:rsid w:val="00053716"/>
    <w:rsid w:val="00057CC5"/>
    <w:rsid w:val="000605F9"/>
    <w:rsid w:val="00061A7B"/>
    <w:rsid w:val="00061C1A"/>
    <w:rsid w:val="00062242"/>
    <w:rsid w:val="000622D0"/>
    <w:rsid w:val="00062625"/>
    <w:rsid w:val="000634CC"/>
    <w:rsid w:val="00063F6E"/>
    <w:rsid w:val="000652E1"/>
    <w:rsid w:val="00067B03"/>
    <w:rsid w:val="00067C1A"/>
    <w:rsid w:val="000700ED"/>
    <w:rsid w:val="00071E87"/>
    <w:rsid w:val="0007228F"/>
    <w:rsid w:val="00073A14"/>
    <w:rsid w:val="00074E78"/>
    <w:rsid w:val="000754EB"/>
    <w:rsid w:val="00075A56"/>
    <w:rsid w:val="00076039"/>
    <w:rsid w:val="0008098B"/>
    <w:rsid w:val="00080DAB"/>
    <w:rsid w:val="00081B3C"/>
    <w:rsid w:val="00082186"/>
    <w:rsid w:val="000831E2"/>
    <w:rsid w:val="00084C75"/>
    <w:rsid w:val="00085E28"/>
    <w:rsid w:val="00086179"/>
    <w:rsid w:val="0008676B"/>
    <w:rsid w:val="0009108D"/>
    <w:rsid w:val="00091B2C"/>
    <w:rsid w:val="00091B42"/>
    <w:rsid w:val="000921E3"/>
    <w:rsid w:val="000925EE"/>
    <w:rsid w:val="00095587"/>
    <w:rsid w:val="00095D14"/>
    <w:rsid w:val="000970D2"/>
    <w:rsid w:val="000A001B"/>
    <w:rsid w:val="000A67DA"/>
    <w:rsid w:val="000A73BA"/>
    <w:rsid w:val="000A75AF"/>
    <w:rsid w:val="000B0F27"/>
    <w:rsid w:val="000B19AC"/>
    <w:rsid w:val="000B3627"/>
    <w:rsid w:val="000B42C7"/>
    <w:rsid w:val="000B4399"/>
    <w:rsid w:val="000B46AC"/>
    <w:rsid w:val="000C29BA"/>
    <w:rsid w:val="000C2BA3"/>
    <w:rsid w:val="000C31F3"/>
    <w:rsid w:val="000C3947"/>
    <w:rsid w:val="000C3EEE"/>
    <w:rsid w:val="000C4907"/>
    <w:rsid w:val="000C6A20"/>
    <w:rsid w:val="000C7662"/>
    <w:rsid w:val="000D0632"/>
    <w:rsid w:val="000D18E8"/>
    <w:rsid w:val="000D1C6A"/>
    <w:rsid w:val="000D34D2"/>
    <w:rsid w:val="000D6A8F"/>
    <w:rsid w:val="000E32DF"/>
    <w:rsid w:val="000E6C8C"/>
    <w:rsid w:val="000F076D"/>
    <w:rsid w:val="000F1044"/>
    <w:rsid w:val="000F221C"/>
    <w:rsid w:val="000F5825"/>
    <w:rsid w:val="000F5F5C"/>
    <w:rsid w:val="000F639E"/>
    <w:rsid w:val="000F671D"/>
    <w:rsid w:val="000F6823"/>
    <w:rsid w:val="000F6F16"/>
    <w:rsid w:val="000F72C4"/>
    <w:rsid w:val="00100F13"/>
    <w:rsid w:val="001012EA"/>
    <w:rsid w:val="0010278C"/>
    <w:rsid w:val="001038A8"/>
    <w:rsid w:val="0010612A"/>
    <w:rsid w:val="00106BC7"/>
    <w:rsid w:val="00106D79"/>
    <w:rsid w:val="00107604"/>
    <w:rsid w:val="00110AEC"/>
    <w:rsid w:val="0011137C"/>
    <w:rsid w:val="001116FB"/>
    <w:rsid w:val="00111F32"/>
    <w:rsid w:val="00112ECD"/>
    <w:rsid w:val="00115B71"/>
    <w:rsid w:val="0011692A"/>
    <w:rsid w:val="00120715"/>
    <w:rsid w:val="00120793"/>
    <w:rsid w:val="00125698"/>
    <w:rsid w:val="00125970"/>
    <w:rsid w:val="0012670B"/>
    <w:rsid w:val="0012687A"/>
    <w:rsid w:val="00126AF1"/>
    <w:rsid w:val="00127177"/>
    <w:rsid w:val="00127DC4"/>
    <w:rsid w:val="001305DD"/>
    <w:rsid w:val="00130DAC"/>
    <w:rsid w:val="00130E9E"/>
    <w:rsid w:val="00130F7E"/>
    <w:rsid w:val="00133ACE"/>
    <w:rsid w:val="001350D1"/>
    <w:rsid w:val="0013698F"/>
    <w:rsid w:val="00137BBE"/>
    <w:rsid w:val="00144C64"/>
    <w:rsid w:val="00144ED0"/>
    <w:rsid w:val="001468B1"/>
    <w:rsid w:val="00146B23"/>
    <w:rsid w:val="00146B9E"/>
    <w:rsid w:val="00147ABF"/>
    <w:rsid w:val="001514C1"/>
    <w:rsid w:val="0015268F"/>
    <w:rsid w:val="001529A6"/>
    <w:rsid w:val="001534DD"/>
    <w:rsid w:val="0015360B"/>
    <w:rsid w:val="00153C71"/>
    <w:rsid w:val="001550A7"/>
    <w:rsid w:val="00155905"/>
    <w:rsid w:val="00155A5D"/>
    <w:rsid w:val="00155A74"/>
    <w:rsid w:val="00156362"/>
    <w:rsid w:val="00156E29"/>
    <w:rsid w:val="001579D9"/>
    <w:rsid w:val="001602EE"/>
    <w:rsid w:val="00160981"/>
    <w:rsid w:val="001614C0"/>
    <w:rsid w:val="00161EF2"/>
    <w:rsid w:val="001620A8"/>
    <w:rsid w:val="00162BC7"/>
    <w:rsid w:val="00165164"/>
    <w:rsid w:val="0016746C"/>
    <w:rsid w:val="00167FE9"/>
    <w:rsid w:val="00170618"/>
    <w:rsid w:val="00170CC3"/>
    <w:rsid w:val="00171267"/>
    <w:rsid w:val="00171E2B"/>
    <w:rsid w:val="0017385F"/>
    <w:rsid w:val="00174416"/>
    <w:rsid w:val="00175005"/>
    <w:rsid w:val="00175304"/>
    <w:rsid w:val="001779CD"/>
    <w:rsid w:val="00177ECB"/>
    <w:rsid w:val="00180F15"/>
    <w:rsid w:val="00181022"/>
    <w:rsid w:val="00181401"/>
    <w:rsid w:val="0018215A"/>
    <w:rsid w:val="001828AC"/>
    <w:rsid w:val="0018371B"/>
    <w:rsid w:val="00184270"/>
    <w:rsid w:val="001879CE"/>
    <w:rsid w:val="00196DA0"/>
    <w:rsid w:val="001A210F"/>
    <w:rsid w:val="001A292F"/>
    <w:rsid w:val="001A3EFC"/>
    <w:rsid w:val="001A4504"/>
    <w:rsid w:val="001A4F52"/>
    <w:rsid w:val="001A5976"/>
    <w:rsid w:val="001A745E"/>
    <w:rsid w:val="001B23CB"/>
    <w:rsid w:val="001B2808"/>
    <w:rsid w:val="001B286E"/>
    <w:rsid w:val="001B3883"/>
    <w:rsid w:val="001B3A80"/>
    <w:rsid w:val="001B3CB4"/>
    <w:rsid w:val="001B40A8"/>
    <w:rsid w:val="001B57A3"/>
    <w:rsid w:val="001B63C1"/>
    <w:rsid w:val="001B66B2"/>
    <w:rsid w:val="001B6F80"/>
    <w:rsid w:val="001B75BB"/>
    <w:rsid w:val="001C0B41"/>
    <w:rsid w:val="001C129B"/>
    <w:rsid w:val="001C162B"/>
    <w:rsid w:val="001C691D"/>
    <w:rsid w:val="001C6B22"/>
    <w:rsid w:val="001D0322"/>
    <w:rsid w:val="001D2D76"/>
    <w:rsid w:val="001D2F03"/>
    <w:rsid w:val="001D3428"/>
    <w:rsid w:val="001D40CE"/>
    <w:rsid w:val="001D4671"/>
    <w:rsid w:val="001D497F"/>
    <w:rsid w:val="001D4F8A"/>
    <w:rsid w:val="001D76C2"/>
    <w:rsid w:val="001D76CD"/>
    <w:rsid w:val="001E04F1"/>
    <w:rsid w:val="001E0D93"/>
    <w:rsid w:val="001E3334"/>
    <w:rsid w:val="001E50C3"/>
    <w:rsid w:val="001E6327"/>
    <w:rsid w:val="001F35A6"/>
    <w:rsid w:val="001F6436"/>
    <w:rsid w:val="001F76D0"/>
    <w:rsid w:val="00200625"/>
    <w:rsid w:val="00201616"/>
    <w:rsid w:val="00202375"/>
    <w:rsid w:val="002073BE"/>
    <w:rsid w:val="002104D8"/>
    <w:rsid w:val="00210A20"/>
    <w:rsid w:val="00210EBD"/>
    <w:rsid w:val="00211E2E"/>
    <w:rsid w:val="00211EB2"/>
    <w:rsid w:val="00212CD2"/>
    <w:rsid w:val="0021318C"/>
    <w:rsid w:val="00213FAB"/>
    <w:rsid w:val="0021416A"/>
    <w:rsid w:val="0021494E"/>
    <w:rsid w:val="00215488"/>
    <w:rsid w:val="002156BB"/>
    <w:rsid w:val="00217D8F"/>
    <w:rsid w:val="00221801"/>
    <w:rsid w:val="0022230F"/>
    <w:rsid w:val="00222CE7"/>
    <w:rsid w:val="0022639B"/>
    <w:rsid w:val="0022692F"/>
    <w:rsid w:val="00227246"/>
    <w:rsid w:val="00227938"/>
    <w:rsid w:val="00227DB7"/>
    <w:rsid w:val="002308F1"/>
    <w:rsid w:val="00231409"/>
    <w:rsid w:val="00232797"/>
    <w:rsid w:val="00232F2F"/>
    <w:rsid w:val="0023304E"/>
    <w:rsid w:val="00233406"/>
    <w:rsid w:val="0023437B"/>
    <w:rsid w:val="002357B4"/>
    <w:rsid w:val="002374D3"/>
    <w:rsid w:val="002409BB"/>
    <w:rsid w:val="0024170E"/>
    <w:rsid w:val="00245598"/>
    <w:rsid w:val="00245878"/>
    <w:rsid w:val="002478C3"/>
    <w:rsid w:val="00247FC3"/>
    <w:rsid w:val="00250572"/>
    <w:rsid w:val="00256878"/>
    <w:rsid w:val="00256F17"/>
    <w:rsid w:val="002609C2"/>
    <w:rsid w:val="00261E1B"/>
    <w:rsid w:val="002623F0"/>
    <w:rsid w:val="00262499"/>
    <w:rsid w:val="00264C89"/>
    <w:rsid w:val="00265DDD"/>
    <w:rsid w:val="002669A3"/>
    <w:rsid w:val="00267CAB"/>
    <w:rsid w:val="00271317"/>
    <w:rsid w:val="002714CE"/>
    <w:rsid w:val="00271E4A"/>
    <w:rsid w:val="0027329A"/>
    <w:rsid w:val="00273755"/>
    <w:rsid w:val="0027510D"/>
    <w:rsid w:val="00275D35"/>
    <w:rsid w:val="00277084"/>
    <w:rsid w:val="00281872"/>
    <w:rsid w:val="00282BB9"/>
    <w:rsid w:val="002837B7"/>
    <w:rsid w:val="0028459F"/>
    <w:rsid w:val="00286204"/>
    <w:rsid w:val="002903AF"/>
    <w:rsid w:val="0029082B"/>
    <w:rsid w:val="00291B95"/>
    <w:rsid w:val="002921F4"/>
    <w:rsid w:val="002944E9"/>
    <w:rsid w:val="00295091"/>
    <w:rsid w:val="002954CA"/>
    <w:rsid w:val="00295ECF"/>
    <w:rsid w:val="0029666D"/>
    <w:rsid w:val="00297137"/>
    <w:rsid w:val="00297512"/>
    <w:rsid w:val="002A0128"/>
    <w:rsid w:val="002A4724"/>
    <w:rsid w:val="002A51BA"/>
    <w:rsid w:val="002B093D"/>
    <w:rsid w:val="002B1E06"/>
    <w:rsid w:val="002B213C"/>
    <w:rsid w:val="002B29F8"/>
    <w:rsid w:val="002B5DB9"/>
    <w:rsid w:val="002B655B"/>
    <w:rsid w:val="002B6934"/>
    <w:rsid w:val="002B6B38"/>
    <w:rsid w:val="002B703D"/>
    <w:rsid w:val="002C00D1"/>
    <w:rsid w:val="002C19E5"/>
    <w:rsid w:val="002C6888"/>
    <w:rsid w:val="002C6D16"/>
    <w:rsid w:val="002C6E63"/>
    <w:rsid w:val="002C7560"/>
    <w:rsid w:val="002D041F"/>
    <w:rsid w:val="002D0ADE"/>
    <w:rsid w:val="002D1847"/>
    <w:rsid w:val="002D1C8A"/>
    <w:rsid w:val="002D3AA8"/>
    <w:rsid w:val="002D4740"/>
    <w:rsid w:val="002D557A"/>
    <w:rsid w:val="002D5F72"/>
    <w:rsid w:val="002D704D"/>
    <w:rsid w:val="002E1DCB"/>
    <w:rsid w:val="002E2DC8"/>
    <w:rsid w:val="002E5303"/>
    <w:rsid w:val="002E62C3"/>
    <w:rsid w:val="002E780D"/>
    <w:rsid w:val="002F4430"/>
    <w:rsid w:val="002F5603"/>
    <w:rsid w:val="002F6271"/>
    <w:rsid w:val="00303B81"/>
    <w:rsid w:val="003043A9"/>
    <w:rsid w:val="0030543B"/>
    <w:rsid w:val="0030558C"/>
    <w:rsid w:val="003061B3"/>
    <w:rsid w:val="00310E6D"/>
    <w:rsid w:val="003115B8"/>
    <w:rsid w:val="00312F48"/>
    <w:rsid w:val="00313706"/>
    <w:rsid w:val="00314F2B"/>
    <w:rsid w:val="003154A4"/>
    <w:rsid w:val="00316C1D"/>
    <w:rsid w:val="003176FF"/>
    <w:rsid w:val="00321E23"/>
    <w:rsid w:val="003220E9"/>
    <w:rsid w:val="003236FB"/>
    <w:rsid w:val="00324152"/>
    <w:rsid w:val="003258FB"/>
    <w:rsid w:val="0032684D"/>
    <w:rsid w:val="00326B09"/>
    <w:rsid w:val="0032728F"/>
    <w:rsid w:val="00330327"/>
    <w:rsid w:val="00333487"/>
    <w:rsid w:val="003407FE"/>
    <w:rsid w:val="00341C2E"/>
    <w:rsid w:val="00342288"/>
    <w:rsid w:val="00342BC3"/>
    <w:rsid w:val="00344DA6"/>
    <w:rsid w:val="003461CA"/>
    <w:rsid w:val="00346425"/>
    <w:rsid w:val="00347188"/>
    <w:rsid w:val="0034797F"/>
    <w:rsid w:val="0035028A"/>
    <w:rsid w:val="00350BFC"/>
    <w:rsid w:val="00350CB6"/>
    <w:rsid w:val="00351900"/>
    <w:rsid w:val="003550D8"/>
    <w:rsid w:val="003553C5"/>
    <w:rsid w:val="00355B48"/>
    <w:rsid w:val="003579A4"/>
    <w:rsid w:val="00357AD1"/>
    <w:rsid w:val="0036118B"/>
    <w:rsid w:val="003613B3"/>
    <w:rsid w:val="003618F8"/>
    <w:rsid w:val="0036234D"/>
    <w:rsid w:val="003646D9"/>
    <w:rsid w:val="0036492A"/>
    <w:rsid w:val="003658E8"/>
    <w:rsid w:val="00367C9A"/>
    <w:rsid w:val="00370694"/>
    <w:rsid w:val="00371859"/>
    <w:rsid w:val="00372974"/>
    <w:rsid w:val="003738AC"/>
    <w:rsid w:val="00374639"/>
    <w:rsid w:val="00374657"/>
    <w:rsid w:val="00376749"/>
    <w:rsid w:val="00376C49"/>
    <w:rsid w:val="00377D90"/>
    <w:rsid w:val="00385547"/>
    <w:rsid w:val="00385956"/>
    <w:rsid w:val="00385F9C"/>
    <w:rsid w:val="00386603"/>
    <w:rsid w:val="00392CC4"/>
    <w:rsid w:val="003971E7"/>
    <w:rsid w:val="0039752D"/>
    <w:rsid w:val="003977A3"/>
    <w:rsid w:val="003A02F0"/>
    <w:rsid w:val="003A14AD"/>
    <w:rsid w:val="003A248C"/>
    <w:rsid w:val="003A24F3"/>
    <w:rsid w:val="003A2A4A"/>
    <w:rsid w:val="003A32F4"/>
    <w:rsid w:val="003A37B0"/>
    <w:rsid w:val="003A47C2"/>
    <w:rsid w:val="003B054B"/>
    <w:rsid w:val="003B1CEA"/>
    <w:rsid w:val="003B2DBA"/>
    <w:rsid w:val="003B7963"/>
    <w:rsid w:val="003B7A20"/>
    <w:rsid w:val="003C0175"/>
    <w:rsid w:val="003C0BAE"/>
    <w:rsid w:val="003C2696"/>
    <w:rsid w:val="003C3394"/>
    <w:rsid w:val="003C3431"/>
    <w:rsid w:val="003C3ECE"/>
    <w:rsid w:val="003C4D63"/>
    <w:rsid w:val="003C5E72"/>
    <w:rsid w:val="003C6D6D"/>
    <w:rsid w:val="003D2678"/>
    <w:rsid w:val="003D2F87"/>
    <w:rsid w:val="003D43DE"/>
    <w:rsid w:val="003D6339"/>
    <w:rsid w:val="003E04FC"/>
    <w:rsid w:val="003E0A1F"/>
    <w:rsid w:val="003E1C82"/>
    <w:rsid w:val="003E4203"/>
    <w:rsid w:val="003E4F5E"/>
    <w:rsid w:val="003E6552"/>
    <w:rsid w:val="003E6878"/>
    <w:rsid w:val="003E7198"/>
    <w:rsid w:val="003E7CC6"/>
    <w:rsid w:val="003F01BF"/>
    <w:rsid w:val="003F0BC5"/>
    <w:rsid w:val="003F16B4"/>
    <w:rsid w:val="003F1CEC"/>
    <w:rsid w:val="003F26B3"/>
    <w:rsid w:val="003F3B59"/>
    <w:rsid w:val="003F42CC"/>
    <w:rsid w:val="003F6B58"/>
    <w:rsid w:val="003F71C9"/>
    <w:rsid w:val="003F7B6B"/>
    <w:rsid w:val="003F7CE9"/>
    <w:rsid w:val="004019E6"/>
    <w:rsid w:val="00405105"/>
    <w:rsid w:val="00405DB6"/>
    <w:rsid w:val="0040797B"/>
    <w:rsid w:val="0041026B"/>
    <w:rsid w:val="004105D7"/>
    <w:rsid w:val="00410819"/>
    <w:rsid w:val="00411BE4"/>
    <w:rsid w:val="00411CAE"/>
    <w:rsid w:val="004129B3"/>
    <w:rsid w:val="0041387D"/>
    <w:rsid w:val="00413E06"/>
    <w:rsid w:val="004142C8"/>
    <w:rsid w:val="00414F1B"/>
    <w:rsid w:val="00414F70"/>
    <w:rsid w:val="004150D2"/>
    <w:rsid w:val="00416CAA"/>
    <w:rsid w:val="00416D14"/>
    <w:rsid w:val="004173E1"/>
    <w:rsid w:val="00417B14"/>
    <w:rsid w:val="00421014"/>
    <w:rsid w:val="00422415"/>
    <w:rsid w:val="004224B4"/>
    <w:rsid w:val="00424C34"/>
    <w:rsid w:val="004253D4"/>
    <w:rsid w:val="004259B6"/>
    <w:rsid w:val="004312EF"/>
    <w:rsid w:val="00431D1D"/>
    <w:rsid w:val="004331EB"/>
    <w:rsid w:val="004331F1"/>
    <w:rsid w:val="00434605"/>
    <w:rsid w:val="00435670"/>
    <w:rsid w:val="00435E90"/>
    <w:rsid w:val="00443845"/>
    <w:rsid w:val="00443A30"/>
    <w:rsid w:val="0044546E"/>
    <w:rsid w:val="00445EF9"/>
    <w:rsid w:val="00446A06"/>
    <w:rsid w:val="00451A45"/>
    <w:rsid w:val="004531C8"/>
    <w:rsid w:val="004555EB"/>
    <w:rsid w:val="00457B12"/>
    <w:rsid w:val="004602A6"/>
    <w:rsid w:val="004602EE"/>
    <w:rsid w:val="004604A5"/>
    <w:rsid w:val="00460DCD"/>
    <w:rsid w:val="00461530"/>
    <w:rsid w:val="00461974"/>
    <w:rsid w:val="00461ABF"/>
    <w:rsid w:val="00462A25"/>
    <w:rsid w:val="00463489"/>
    <w:rsid w:val="004652C8"/>
    <w:rsid w:val="00465591"/>
    <w:rsid w:val="004705AC"/>
    <w:rsid w:val="00470730"/>
    <w:rsid w:val="0047117D"/>
    <w:rsid w:val="0047150C"/>
    <w:rsid w:val="004757E6"/>
    <w:rsid w:val="00477428"/>
    <w:rsid w:val="00481B65"/>
    <w:rsid w:val="004838D9"/>
    <w:rsid w:val="00483E24"/>
    <w:rsid w:val="0048479D"/>
    <w:rsid w:val="00486450"/>
    <w:rsid w:val="0049015C"/>
    <w:rsid w:val="00494CBC"/>
    <w:rsid w:val="00494E87"/>
    <w:rsid w:val="00496D2A"/>
    <w:rsid w:val="004976F3"/>
    <w:rsid w:val="004A17D3"/>
    <w:rsid w:val="004A2D8A"/>
    <w:rsid w:val="004A367B"/>
    <w:rsid w:val="004A52AA"/>
    <w:rsid w:val="004A5347"/>
    <w:rsid w:val="004A5DE7"/>
    <w:rsid w:val="004A61B0"/>
    <w:rsid w:val="004A64A7"/>
    <w:rsid w:val="004B2E64"/>
    <w:rsid w:val="004B3184"/>
    <w:rsid w:val="004B36DF"/>
    <w:rsid w:val="004B3A61"/>
    <w:rsid w:val="004B4C2F"/>
    <w:rsid w:val="004B4CD5"/>
    <w:rsid w:val="004B5469"/>
    <w:rsid w:val="004B7223"/>
    <w:rsid w:val="004C01A2"/>
    <w:rsid w:val="004C02DB"/>
    <w:rsid w:val="004C06E2"/>
    <w:rsid w:val="004C1828"/>
    <w:rsid w:val="004C1E4E"/>
    <w:rsid w:val="004C526F"/>
    <w:rsid w:val="004C7927"/>
    <w:rsid w:val="004C7A6F"/>
    <w:rsid w:val="004D4DBE"/>
    <w:rsid w:val="004D4E00"/>
    <w:rsid w:val="004D5FBB"/>
    <w:rsid w:val="004E0194"/>
    <w:rsid w:val="004E09BE"/>
    <w:rsid w:val="004E0ED8"/>
    <w:rsid w:val="004E16A2"/>
    <w:rsid w:val="004E16FC"/>
    <w:rsid w:val="004E3107"/>
    <w:rsid w:val="004E32CF"/>
    <w:rsid w:val="004E3A19"/>
    <w:rsid w:val="004E472F"/>
    <w:rsid w:val="004E70CC"/>
    <w:rsid w:val="004E7C6A"/>
    <w:rsid w:val="004F1589"/>
    <w:rsid w:val="004F22B9"/>
    <w:rsid w:val="004F27D1"/>
    <w:rsid w:val="004F3F5C"/>
    <w:rsid w:val="004F7888"/>
    <w:rsid w:val="005011E0"/>
    <w:rsid w:val="00501752"/>
    <w:rsid w:val="005019D8"/>
    <w:rsid w:val="0050218A"/>
    <w:rsid w:val="00503046"/>
    <w:rsid w:val="00504021"/>
    <w:rsid w:val="0050671E"/>
    <w:rsid w:val="005100D5"/>
    <w:rsid w:val="00511761"/>
    <w:rsid w:val="00511A22"/>
    <w:rsid w:val="00514C43"/>
    <w:rsid w:val="00515459"/>
    <w:rsid w:val="00516804"/>
    <w:rsid w:val="00517A23"/>
    <w:rsid w:val="00517F7F"/>
    <w:rsid w:val="00520EEE"/>
    <w:rsid w:val="005245F6"/>
    <w:rsid w:val="005258A5"/>
    <w:rsid w:val="00531B72"/>
    <w:rsid w:val="00533A7A"/>
    <w:rsid w:val="00535E22"/>
    <w:rsid w:val="005400EE"/>
    <w:rsid w:val="00540922"/>
    <w:rsid w:val="005432E3"/>
    <w:rsid w:val="005433B8"/>
    <w:rsid w:val="0054367C"/>
    <w:rsid w:val="00545368"/>
    <w:rsid w:val="00546D01"/>
    <w:rsid w:val="00546DAA"/>
    <w:rsid w:val="00554A27"/>
    <w:rsid w:val="00554D31"/>
    <w:rsid w:val="00554E57"/>
    <w:rsid w:val="00555673"/>
    <w:rsid w:val="00555EEB"/>
    <w:rsid w:val="005567E7"/>
    <w:rsid w:val="00556A04"/>
    <w:rsid w:val="0055707D"/>
    <w:rsid w:val="0056559E"/>
    <w:rsid w:val="00566388"/>
    <w:rsid w:val="005673B3"/>
    <w:rsid w:val="0056774C"/>
    <w:rsid w:val="005677EE"/>
    <w:rsid w:val="00567A80"/>
    <w:rsid w:val="0057018C"/>
    <w:rsid w:val="0057125A"/>
    <w:rsid w:val="00572D02"/>
    <w:rsid w:val="00572D30"/>
    <w:rsid w:val="00572E41"/>
    <w:rsid w:val="00573EC9"/>
    <w:rsid w:val="005770B3"/>
    <w:rsid w:val="005776C1"/>
    <w:rsid w:val="00577ABC"/>
    <w:rsid w:val="00581D73"/>
    <w:rsid w:val="00583610"/>
    <w:rsid w:val="00583969"/>
    <w:rsid w:val="00583A6F"/>
    <w:rsid w:val="00587742"/>
    <w:rsid w:val="00587FCF"/>
    <w:rsid w:val="0059147E"/>
    <w:rsid w:val="00592111"/>
    <w:rsid w:val="005926AA"/>
    <w:rsid w:val="00593696"/>
    <w:rsid w:val="005948B7"/>
    <w:rsid w:val="00595BAA"/>
    <w:rsid w:val="00595E7B"/>
    <w:rsid w:val="005964B3"/>
    <w:rsid w:val="005A0A67"/>
    <w:rsid w:val="005A0E28"/>
    <w:rsid w:val="005A2459"/>
    <w:rsid w:val="005A29E6"/>
    <w:rsid w:val="005A35F7"/>
    <w:rsid w:val="005A4AC2"/>
    <w:rsid w:val="005A63E9"/>
    <w:rsid w:val="005A746A"/>
    <w:rsid w:val="005B29B7"/>
    <w:rsid w:val="005B3272"/>
    <w:rsid w:val="005B3DF4"/>
    <w:rsid w:val="005B6B5A"/>
    <w:rsid w:val="005C016B"/>
    <w:rsid w:val="005C02E9"/>
    <w:rsid w:val="005C0CDB"/>
    <w:rsid w:val="005C1204"/>
    <w:rsid w:val="005C2CDC"/>
    <w:rsid w:val="005C3D17"/>
    <w:rsid w:val="005C59E6"/>
    <w:rsid w:val="005C5BCF"/>
    <w:rsid w:val="005C6CD3"/>
    <w:rsid w:val="005C7379"/>
    <w:rsid w:val="005C7518"/>
    <w:rsid w:val="005D08D3"/>
    <w:rsid w:val="005D1881"/>
    <w:rsid w:val="005D2EA0"/>
    <w:rsid w:val="005D376B"/>
    <w:rsid w:val="005D3B5D"/>
    <w:rsid w:val="005D3E62"/>
    <w:rsid w:val="005D7A41"/>
    <w:rsid w:val="005D7F7C"/>
    <w:rsid w:val="005E0448"/>
    <w:rsid w:val="005E3097"/>
    <w:rsid w:val="005E635F"/>
    <w:rsid w:val="005E6E31"/>
    <w:rsid w:val="005F0838"/>
    <w:rsid w:val="005F0A5F"/>
    <w:rsid w:val="005F1C86"/>
    <w:rsid w:val="005F253D"/>
    <w:rsid w:val="005F371B"/>
    <w:rsid w:val="005F48B7"/>
    <w:rsid w:val="005F7EC2"/>
    <w:rsid w:val="0060380E"/>
    <w:rsid w:val="00603E9E"/>
    <w:rsid w:val="0060465C"/>
    <w:rsid w:val="00604C57"/>
    <w:rsid w:val="006050AF"/>
    <w:rsid w:val="00605683"/>
    <w:rsid w:val="00605B03"/>
    <w:rsid w:val="00605B21"/>
    <w:rsid w:val="006072BA"/>
    <w:rsid w:val="00612B13"/>
    <w:rsid w:val="006138EE"/>
    <w:rsid w:val="006150ED"/>
    <w:rsid w:val="0062081F"/>
    <w:rsid w:val="0062187C"/>
    <w:rsid w:val="006235CC"/>
    <w:rsid w:val="0062374F"/>
    <w:rsid w:val="00623A18"/>
    <w:rsid w:val="0062747D"/>
    <w:rsid w:val="00627B8E"/>
    <w:rsid w:val="00627F4D"/>
    <w:rsid w:val="00630A51"/>
    <w:rsid w:val="006326EF"/>
    <w:rsid w:val="00634A98"/>
    <w:rsid w:val="00635864"/>
    <w:rsid w:val="00637576"/>
    <w:rsid w:val="00642D30"/>
    <w:rsid w:val="00642E8A"/>
    <w:rsid w:val="00643D07"/>
    <w:rsid w:val="006444BE"/>
    <w:rsid w:val="00646500"/>
    <w:rsid w:val="00647563"/>
    <w:rsid w:val="00651DF6"/>
    <w:rsid w:val="006554AC"/>
    <w:rsid w:val="00656492"/>
    <w:rsid w:val="00660440"/>
    <w:rsid w:val="006617C1"/>
    <w:rsid w:val="00661969"/>
    <w:rsid w:val="006645CC"/>
    <w:rsid w:val="00664F5C"/>
    <w:rsid w:val="00666E01"/>
    <w:rsid w:val="00670EEA"/>
    <w:rsid w:val="0067136D"/>
    <w:rsid w:val="00677C7D"/>
    <w:rsid w:val="00680C87"/>
    <w:rsid w:val="00684140"/>
    <w:rsid w:val="00684FD3"/>
    <w:rsid w:val="00685D3A"/>
    <w:rsid w:val="0068692E"/>
    <w:rsid w:val="006900D3"/>
    <w:rsid w:val="00690B9D"/>
    <w:rsid w:val="0069233F"/>
    <w:rsid w:val="00693E7B"/>
    <w:rsid w:val="00695CF4"/>
    <w:rsid w:val="0069617C"/>
    <w:rsid w:val="00696A48"/>
    <w:rsid w:val="006A03F6"/>
    <w:rsid w:val="006A085E"/>
    <w:rsid w:val="006A0884"/>
    <w:rsid w:val="006A1119"/>
    <w:rsid w:val="006A1521"/>
    <w:rsid w:val="006A25DB"/>
    <w:rsid w:val="006A2828"/>
    <w:rsid w:val="006A3E64"/>
    <w:rsid w:val="006A5143"/>
    <w:rsid w:val="006A6C63"/>
    <w:rsid w:val="006B0D16"/>
    <w:rsid w:val="006B1A58"/>
    <w:rsid w:val="006B25C7"/>
    <w:rsid w:val="006B35B1"/>
    <w:rsid w:val="006B42F2"/>
    <w:rsid w:val="006B5A29"/>
    <w:rsid w:val="006B5DDD"/>
    <w:rsid w:val="006B7336"/>
    <w:rsid w:val="006B7D86"/>
    <w:rsid w:val="006C1B0B"/>
    <w:rsid w:val="006C1CCF"/>
    <w:rsid w:val="006C21D7"/>
    <w:rsid w:val="006C4627"/>
    <w:rsid w:val="006C5302"/>
    <w:rsid w:val="006D0BB0"/>
    <w:rsid w:val="006D1EC6"/>
    <w:rsid w:val="006D4E0C"/>
    <w:rsid w:val="006D7549"/>
    <w:rsid w:val="006D779E"/>
    <w:rsid w:val="006E0AE5"/>
    <w:rsid w:val="006E1BC9"/>
    <w:rsid w:val="006E7899"/>
    <w:rsid w:val="006F15F7"/>
    <w:rsid w:val="006F1B96"/>
    <w:rsid w:val="006F1ED3"/>
    <w:rsid w:val="006F3251"/>
    <w:rsid w:val="00700CFC"/>
    <w:rsid w:val="00702B82"/>
    <w:rsid w:val="0070509F"/>
    <w:rsid w:val="00706EEA"/>
    <w:rsid w:val="00712C1B"/>
    <w:rsid w:val="00713846"/>
    <w:rsid w:val="00714C02"/>
    <w:rsid w:val="00715430"/>
    <w:rsid w:val="00716D41"/>
    <w:rsid w:val="00717462"/>
    <w:rsid w:val="00717C85"/>
    <w:rsid w:val="00717D86"/>
    <w:rsid w:val="00722A39"/>
    <w:rsid w:val="007232C7"/>
    <w:rsid w:val="0072532B"/>
    <w:rsid w:val="00725AFF"/>
    <w:rsid w:val="007315EC"/>
    <w:rsid w:val="0073183D"/>
    <w:rsid w:val="00732F57"/>
    <w:rsid w:val="00733DE6"/>
    <w:rsid w:val="007347ED"/>
    <w:rsid w:val="007350E8"/>
    <w:rsid w:val="007352EC"/>
    <w:rsid w:val="00736998"/>
    <w:rsid w:val="00737853"/>
    <w:rsid w:val="00741AC6"/>
    <w:rsid w:val="00743972"/>
    <w:rsid w:val="00744B9C"/>
    <w:rsid w:val="00744DB0"/>
    <w:rsid w:val="00745873"/>
    <w:rsid w:val="00746725"/>
    <w:rsid w:val="007505E1"/>
    <w:rsid w:val="007528D5"/>
    <w:rsid w:val="0075351F"/>
    <w:rsid w:val="0075432A"/>
    <w:rsid w:val="00754DAF"/>
    <w:rsid w:val="007557C5"/>
    <w:rsid w:val="00760C52"/>
    <w:rsid w:val="007618D5"/>
    <w:rsid w:val="007625DB"/>
    <w:rsid w:val="00762610"/>
    <w:rsid w:val="00762824"/>
    <w:rsid w:val="007630D6"/>
    <w:rsid w:val="00763C66"/>
    <w:rsid w:val="007644F2"/>
    <w:rsid w:val="00765BC4"/>
    <w:rsid w:val="00766DE1"/>
    <w:rsid w:val="00766E9C"/>
    <w:rsid w:val="00770290"/>
    <w:rsid w:val="00773D72"/>
    <w:rsid w:val="00774F97"/>
    <w:rsid w:val="00775CF7"/>
    <w:rsid w:val="007770E8"/>
    <w:rsid w:val="00777E93"/>
    <w:rsid w:val="007820EB"/>
    <w:rsid w:val="007828DD"/>
    <w:rsid w:val="00790158"/>
    <w:rsid w:val="007905D0"/>
    <w:rsid w:val="00792471"/>
    <w:rsid w:val="00792689"/>
    <w:rsid w:val="007954EC"/>
    <w:rsid w:val="0079668F"/>
    <w:rsid w:val="00796B25"/>
    <w:rsid w:val="00796D7D"/>
    <w:rsid w:val="007A00BF"/>
    <w:rsid w:val="007A0714"/>
    <w:rsid w:val="007A1188"/>
    <w:rsid w:val="007A2ED0"/>
    <w:rsid w:val="007A4276"/>
    <w:rsid w:val="007A7B17"/>
    <w:rsid w:val="007B2797"/>
    <w:rsid w:val="007B2ED3"/>
    <w:rsid w:val="007B3627"/>
    <w:rsid w:val="007B6572"/>
    <w:rsid w:val="007B69AE"/>
    <w:rsid w:val="007C160B"/>
    <w:rsid w:val="007C2D57"/>
    <w:rsid w:val="007C2E67"/>
    <w:rsid w:val="007C5397"/>
    <w:rsid w:val="007C5844"/>
    <w:rsid w:val="007C5DF8"/>
    <w:rsid w:val="007C637B"/>
    <w:rsid w:val="007D063A"/>
    <w:rsid w:val="007D09BC"/>
    <w:rsid w:val="007D0F54"/>
    <w:rsid w:val="007D244D"/>
    <w:rsid w:val="007D2A06"/>
    <w:rsid w:val="007D41B7"/>
    <w:rsid w:val="007D4459"/>
    <w:rsid w:val="007E2811"/>
    <w:rsid w:val="007E3976"/>
    <w:rsid w:val="007F0EFA"/>
    <w:rsid w:val="007F19EB"/>
    <w:rsid w:val="007F1EF5"/>
    <w:rsid w:val="007F2A24"/>
    <w:rsid w:val="007F5960"/>
    <w:rsid w:val="007F75B4"/>
    <w:rsid w:val="008006E6"/>
    <w:rsid w:val="00801393"/>
    <w:rsid w:val="0080193D"/>
    <w:rsid w:val="00801B4B"/>
    <w:rsid w:val="00802CD6"/>
    <w:rsid w:val="00802F92"/>
    <w:rsid w:val="00803048"/>
    <w:rsid w:val="00803092"/>
    <w:rsid w:val="008075EB"/>
    <w:rsid w:val="00810791"/>
    <w:rsid w:val="00811FCD"/>
    <w:rsid w:val="008135C9"/>
    <w:rsid w:val="00814B74"/>
    <w:rsid w:val="00814F7A"/>
    <w:rsid w:val="00820C81"/>
    <w:rsid w:val="00821286"/>
    <w:rsid w:val="00821508"/>
    <w:rsid w:val="0082315E"/>
    <w:rsid w:val="008245EC"/>
    <w:rsid w:val="00830C1A"/>
    <w:rsid w:val="00831EBB"/>
    <w:rsid w:val="008320B2"/>
    <w:rsid w:val="00832CAB"/>
    <w:rsid w:val="00833B40"/>
    <w:rsid w:val="00836D65"/>
    <w:rsid w:val="008378AF"/>
    <w:rsid w:val="00842395"/>
    <w:rsid w:val="0084446A"/>
    <w:rsid w:val="00845C2C"/>
    <w:rsid w:val="00846343"/>
    <w:rsid w:val="00847699"/>
    <w:rsid w:val="00850624"/>
    <w:rsid w:val="00850E0F"/>
    <w:rsid w:val="0085453A"/>
    <w:rsid w:val="00856A96"/>
    <w:rsid w:val="00857C15"/>
    <w:rsid w:val="008640EF"/>
    <w:rsid w:val="008647D9"/>
    <w:rsid w:val="00864A9D"/>
    <w:rsid w:val="00867433"/>
    <w:rsid w:val="00872385"/>
    <w:rsid w:val="00872A32"/>
    <w:rsid w:val="00873E61"/>
    <w:rsid w:val="008742E1"/>
    <w:rsid w:val="00881652"/>
    <w:rsid w:val="00885F68"/>
    <w:rsid w:val="00887A81"/>
    <w:rsid w:val="00887AFF"/>
    <w:rsid w:val="0089070E"/>
    <w:rsid w:val="0089111B"/>
    <w:rsid w:val="00891BD3"/>
    <w:rsid w:val="00891E2F"/>
    <w:rsid w:val="008A06A5"/>
    <w:rsid w:val="008A28B2"/>
    <w:rsid w:val="008A31EC"/>
    <w:rsid w:val="008A3590"/>
    <w:rsid w:val="008A38CF"/>
    <w:rsid w:val="008A4CC4"/>
    <w:rsid w:val="008A5B69"/>
    <w:rsid w:val="008A6121"/>
    <w:rsid w:val="008A702B"/>
    <w:rsid w:val="008A7BEC"/>
    <w:rsid w:val="008A7EC6"/>
    <w:rsid w:val="008B0B98"/>
    <w:rsid w:val="008B158B"/>
    <w:rsid w:val="008B3786"/>
    <w:rsid w:val="008B450F"/>
    <w:rsid w:val="008B53CB"/>
    <w:rsid w:val="008B598D"/>
    <w:rsid w:val="008B6C77"/>
    <w:rsid w:val="008B7856"/>
    <w:rsid w:val="008C111A"/>
    <w:rsid w:val="008C56C0"/>
    <w:rsid w:val="008C7D84"/>
    <w:rsid w:val="008C7F80"/>
    <w:rsid w:val="008D4AC0"/>
    <w:rsid w:val="008D6367"/>
    <w:rsid w:val="008D6BAD"/>
    <w:rsid w:val="008D7D04"/>
    <w:rsid w:val="008E09C6"/>
    <w:rsid w:val="008E11B3"/>
    <w:rsid w:val="008E1D6C"/>
    <w:rsid w:val="008E222D"/>
    <w:rsid w:val="008E47CB"/>
    <w:rsid w:val="008E5289"/>
    <w:rsid w:val="008E546F"/>
    <w:rsid w:val="008E5AD9"/>
    <w:rsid w:val="008E5B77"/>
    <w:rsid w:val="008F0C0D"/>
    <w:rsid w:val="008F0D40"/>
    <w:rsid w:val="008F2129"/>
    <w:rsid w:val="008F28C5"/>
    <w:rsid w:val="008F3907"/>
    <w:rsid w:val="008F4293"/>
    <w:rsid w:val="008F4641"/>
    <w:rsid w:val="008F4F91"/>
    <w:rsid w:val="008F7876"/>
    <w:rsid w:val="009029A2"/>
    <w:rsid w:val="00902C29"/>
    <w:rsid w:val="009046DA"/>
    <w:rsid w:val="0090666B"/>
    <w:rsid w:val="00907663"/>
    <w:rsid w:val="00910114"/>
    <w:rsid w:val="00911BB0"/>
    <w:rsid w:val="009136A5"/>
    <w:rsid w:val="009145E5"/>
    <w:rsid w:val="00916625"/>
    <w:rsid w:val="009178C4"/>
    <w:rsid w:val="009205E9"/>
    <w:rsid w:val="00920FCE"/>
    <w:rsid w:val="009224C5"/>
    <w:rsid w:val="009226B1"/>
    <w:rsid w:val="0092417F"/>
    <w:rsid w:val="00930A3C"/>
    <w:rsid w:val="0093126C"/>
    <w:rsid w:val="00931EA9"/>
    <w:rsid w:val="00932400"/>
    <w:rsid w:val="009333C0"/>
    <w:rsid w:val="009343B5"/>
    <w:rsid w:val="00934752"/>
    <w:rsid w:val="00934B86"/>
    <w:rsid w:val="00936366"/>
    <w:rsid w:val="009371A3"/>
    <w:rsid w:val="00937C91"/>
    <w:rsid w:val="00940180"/>
    <w:rsid w:val="0094274C"/>
    <w:rsid w:val="00950514"/>
    <w:rsid w:val="00953142"/>
    <w:rsid w:val="009534D7"/>
    <w:rsid w:val="00954792"/>
    <w:rsid w:val="0095511E"/>
    <w:rsid w:val="009556B0"/>
    <w:rsid w:val="009560F6"/>
    <w:rsid w:val="00956AEB"/>
    <w:rsid w:val="00956B05"/>
    <w:rsid w:val="00957ECB"/>
    <w:rsid w:val="00960B82"/>
    <w:rsid w:val="0096196B"/>
    <w:rsid w:val="00963195"/>
    <w:rsid w:val="0096324D"/>
    <w:rsid w:val="00963572"/>
    <w:rsid w:val="00963B8D"/>
    <w:rsid w:val="00964210"/>
    <w:rsid w:val="00965004"/>
    <w:rsid w:val="009654C8"/>
    <w:rsid w:val="009663FD"/>
    <w:rsid w:val="00966446"/>
    <w:rsid w:val="00966752"/>
    <w:rsid w:val="00966E7B"/>
    <w:rsid w:val="00970099"/>
    <w:rsid w:val="00971A0B"/>
    <w:rsid w:val="00971A8D"/>
    <w:rsid w:val="009748AC"/>
    <w:rsid w:val="0097615A"/>
    <w:rsid w:val="009827CC"/>
    <w:rsid w:val="00983D51"/>
    <w:rsid w:val="00984D38"/>
    <w:rsid w:val="00986282"/>
    <w:rsid w:val="0098642F"/>
    <w:rsid w:val="00986889"/>
    <w:rsid w:val="00991DFA"/>
    <w:rsid w:val="009925A9"/>
    <w:rsid w:val="00992D99"/>
    <w:rsid w:val="009A0584"/>
    <w:rsid w:val="009A0F81"/>
    <w:rsid w:val="009A2E4A"/>
    <w:rsid w:val="009A48D7"/>
    <w:rsid w:val="009A4B17"/>
    <w:rsid w:val="009A5035"/>
    <w:rsid w:val="009A533F"/>
    <w:rsid w:val="009A5BB9"/>
    <w:rsid w:val="009A60FE"/>
    <w:rsid w:val="009A7E57"/>
    <w:rsid w:val="009B0034"/>
    <w:rsid w:val="009B709E"/>
    <w:rsid w:val="009C1D43"/>
    <w:rsid w:val="009C1D78"/>
    <w:rsid w:val="009C2F00"/>
    <w:rsid w:val="009C53BC"/>
    <w:rsid w:val="009C5BCD"/>
    <w:rsid w:val="009C5DD2"/>
    <w:rsid w:val="009D01A1"/>
    <w:rsid w:val="009D046A"/>
    <w:rsid w:val="009D351C"/>
    <w:rsid w:val="009D485B"/>
    <w:rsid w:val="009D537F"/>
    <w:rsid w:val="009E031D"/>
    <w:rsid w:val="009E0D89"/>
    <w:rsid w:val="009E1469"/>
    <w:rsid w:val="009E14C2"/>
    <w:rsid w:val="009E32D9"/>
    <w:rsid w:val="009E3E39"/>
    <w:rsid w:val="009E5548"/>
    <w:rsid w:val="009E7A6C"/>
    <w:rsid w:val="009F0C26"/>
    <w:rsid w:val="009F1003"/>
    <w:rsid w:val="009F105F"/>
    <w:rsid w:val="009F412A"/>
    <w:rsid w:val="009F4417"/>
    <w:rsid w:val="009F4768"/>
    <w:rsid w:val="009F5049"/>
    <w:rsid w:val="009F597B"/>
    <w:rsid w:val="00A05630"/>
    <w:rsid w:val="00A06B67"/>
    <w:rsid w:val="00A12A8D"/>
    <w:rsid w:val="00A13569"/>
    <w:rsid w:val="00A1362F"/>
    <w:rsid w:val="00A14547"/>
    <w:rsid w:val="00A14DC7"/>
    <w:rsid w:val="00A1579A"/>
    <w:rsid w:val="00A160D8"/>
    <w:rsid w:val="00A1766E"/>
    <w:rsid w:val="00A17B66"/>
    <w:rsid w:val="00A21F0F"/>
    <w:rsid w:val="00A24A7C"/>
    <w:rsid w:val="00A268FE"/>
    <w:rsid w:val="00A33C78"/>
    <w:rsid w:val="00A35439"/>
    <w:rsid w:val="00A35F01"/>
    <w:rsid w:val="00A36470"/>
    <w:rsid w:val="00A37892"/>
    <w:rsid w:val="00A40209"/>
    <w:rsid w:val="00A41718"/>
    <w:rsid w:val="00A451D3"/>
    <w:rsid w:val="00A462C5"/>
    <w:rsid w:val="00A47E94"/>
    <w:rsid w:val="00A500DB"/>
    <w:rsid w:val="00A522BF"/>
    <w:rsid w:val="00A5329C"/>
    <w:rsid w:val="00A53AF7"/>
    <w:rsid w:val="00A5592A"/>
    <w:rsid w:val="00A56882"/>
    <w:rsid w:val="00A612E7"/>
    <w:rsid w:val="00A61816"/>
    <w:rsid w:val="00A63BA9"/>
    <w:rsid w:val="00A63BEA"/>
    <w:rsid w:val="00A64BD9"/>
    <w:rsid w:val="00A66666"/>
    <w:rsid w:val="00A67524"/>
    <w:rsid w:val="00A67969"/>
    <w:rsid w:val="00A67B1C"/>
    <w:rsid w:val="00A70522"/>
    <w:rsid w:val="00A7372D"/>
    <w:rsid w:val="00A73D61"/>
    <w:rsid w:val="00A75382"/>
    <w:rsid w:val="00A756B6"/>
    <w:rsid w:val="00A778DE"/>
    <w:rsid w:val="00A839B7"/>
    <w:rsid w:val="00A860AF"/>
    <w:rsid w:val="00A86528"/>
    <w:rsid w:val="00A86564"/>
    <w:rsid w:val="00A87A27"/>
    <w:rsid w:val="00A91348"/>
    <w:rsid w:val="00A926F0"/>
    <w:rsid w:val="00A935EA"/>
    <w:rsid w:val="00A9410B"/>
    <w:rsid w:val="00A94A64"/>
    <w:rsid w:val="00A953C3"/>
    <w:rsid w:val="00A95715"/>
    <w:rsid w:val="00A9635E"/>
    <w:rsid w:val="00A96532"/>
    <w:rsid w:val="00AA030C"/>
    <w:rsid w:val="00AA04B5"/>
    <w:rsid w:val="00AA0B4E"/>
    <w:rsid w:val="00AA14D2"/>
    <w:rsid w:val="00AA2232"/>
    <w:rsid w:val="00AA2855"/>
    <w:rsid w:val="00AA2E4D"/>
    <w:rsid w:val="00AA3017"/>
    <w:rsid w:val="00AA34A9"/>
    <w:rsid w:val="00AA3F8A"/>
    <w:rsid w:val="00AA5B2D"/>
    <w:rsid w:val="00AA7961"/>
    <w:rsid w:val="00AB0486"/>
    <w:rsid w:val="00AB0899"/>
    <w:rsid w:val="00AB2B98"/>
    <w:rsid w:val="00AB3C49"/>
    <w:rsid w:val="00AB3CCE"/>
    <w:rsid w:val="00AB6352"/>
    <w:rsid w:val="00AB757E"/>
    <w:rsid w:val="00AB7815"/>
    <w:rsid w:val="00AC1B5C"/>
    <w:rsid w:val="00AC284B"/>
    <w:rsid w:val="00AC55BE"/>
    <w:rsid w:val="00AC7FEA"/>
    <w:rsid w:val="00AD1D2F"/>
    <w:rsid w:val="00AD4256"/>
    <w:rsid w:val="00AF10EF"/>
    <w:rsid w:val="00AF3D09"/>
    <w:rsid w:val="00AF40FF"/>
    <w:rsid w:val="00AF4A42"/>
    <w:rsid w:val="00AF6B56"/>
    <w:rsid w:val="00AF6E82"/>
    <w:rsid w:val="00AF6EB2"/>
    <w:rsid w:val="00AF7249"/>
    <w:rsid w:val="00B00169"/>
    <w:rsid w:val="00B002CB"/>
    <w:rsid w:val="00B00733"/>
    <w:rsid w:val="00B0075E"/>
    <w:rsid w:val="00B013B9"/>
    <w:rsid w:val="00B0419A"/>
    <w:rsid w:val="00B04FB5"/>
    <w:rsid w:val="00B06900"/>
    <w:rsid w:val="00B07707"/>
    <w:rsid w:val="00B07F51"/>
    <w:rsid w:val="00B10C5B"/>
    <w:rsid w:val="00B11234"/>
    <w:rsid w:val="00B126C8"/>
    <w:rsid w:val="00B16D48"/>
    <w:rsid w:val="00B171F1"/>
    <w:rsid w:val="00B2094F"/>
    <w:rsid w:val="00B20BD4"/>
    <w:rsid w:val="00B238E3"/>
    <w:rsid w:val="00B2419F"/>
    <w:rsid w:val="00B24C48"/>
    <w:rsid w:val="00B2613D"/>
    <w:rsid w:val="00B26683"/>
    <w:rsid w:val="00B2719E"/>
    <w:rsid w:val="00B3058C"/>
    <w:rsid w:val="00B307D9"/>
    <w:rsid w:val="00B33337"/>
    <w:rsid w:val="00B3352E"/>
    <w:rsid w:val="00B33612"/>
    <w:rsid w:val="00B339B2"/>
    <w:rsid w:val="00B3406A"/>
    <w:rsid w:val="00B36038"/>
    <w:rsid w:val="00B36CD6"/>
    <w:rsid w:val="00B4070C"/>
    <w:rsid w:val="00B40FB0"/>
    <w:rsid w:val="00B42720"/>
    <w:rsid w:val="00B44F8E"/>
    <w:rsid w:val="00B4632F"/>
    <w:rsid w:val="00B467A2"/>
    <w:rsid w:val="00B46F35"/>
    <w:rsid w:val="00B50DC0"/>
    <w:rsid w:val="00B51055"/>
    <w:rsid w:val="00B51E39"/>
    <w:rsid w:val="00B5236B"/>
    <w:rsid w:val="00B524EB"/>
    <w:rsid w:val="00B53752"/>
    <w:rsid w:val="00B54A8F"/>
    <w:rsid w:val="00B56743"/>
    <w:rsid w:val="00B5707D"/>
    <w:rsid w:val="00B57F52"/>
    <w:rsid w:val="00B616F5"/>
    <w:rsid w:val="00B65CB7"/>
    <w:rsid w:val="00B66ACD"/>
    <w:rsid w:val="00B66EF4"/>
    <w:rsid w:val="00B67247"/>
    <w:rsid w:val="00B67C80"/>
    <w:rsid w:val="00B71719"/>
    <w:rsid w:val="00B718A9"/>
    <w:rsid w:val="00B71C5B"/>
    <w:rsid w:val="00B72DC2"/>
    <w:rsid w:val="00B72FF5"/>
    <w:rsid w:val="00B73BD6"/>
    <w:rsid w:val="00B74243"/>
    <w:rsid w:val="00B74764"/>
    <w:rsid w:val="00B74FC8"/>
    <w:rsid w:val="00B765F1"/>
    <w:rsid w:val="00B76BEF"/>
    <w:rsid w:val="00B77270"/>
    <w:rsid w:val="00B8244D"/>
    <w:rsid w:val="00B83162"/>
    <w:rsid w:val="00B84BA5"/>
    <w:rsid w:val="00B953EF"/>
    <w:rsid w:val="00B95B3A"/>
    <w:rsid w:val="00B963C6"/>
    <w:rsid w:val="00B96496"/>
    <w:rsid w:val="00B97CF6"/>
    <w:rsid w:val="00BA030E"/>
    <w:rsid w:val="00BA14ED"/>
    <w:rsid w:val="00BA1A95"/>
    <w:rsid w:val="00BA1FCF"/>
    <w:rsid w:val="00BA7F9D"/>
    <w:rsid w:val="00BB0065"/>
    <w:rsid w:val="00BB0488"/>
    <w:rsid w:val="00BB0D99"/>
    <w:rsid w:val="00BB12ED"/>
    <w:rsid w:val="00BB3768"/>
    <w:rsid w:val="00BB3DE6"/>
    <w:rsid w:val="00BB554F"/>
    <w:rsid w:val="00BB63DD"/>
    <w:rsid w:val="00BB74DD"/>
    <w:rsid w:val="00BB7B95"/>
    <w:rsid w:val="00BC1F03"/>
    <w:rsid w:val="00BC42FD"/>
    <w:rsid w:val="00BC5C20"/>
    <w:rsid w:val="00BC61B5"/>
    <w:rsid w:val="00BC64B2"/>
    <w:rsid w:val="00BD045D"/>
    <w:rsid w:val="00BD162C"/>
    <w:rsid w:val="00BD41B5"/>
    <w:rsid w:val="00BD7070"/>
    <w:rsid w:val="00BD7446"/>
    <w:rsid w:val="00BD79DD"/>
    <w:rsid w:val="00BE04E0"/>
    <w:rsid w:val="00BE0A71"/>
    <w:rsid w:val="00BE1D46"/>
    <w:rsid w:val="00BE1DDC"/>
    <w:rsid w:val="00BE1E86"/>
    <w:rsid w:val="00BE4059"/>
    <w:rsid w:val="00BE5D54"/>
    <w:rsid w:val="00BE79C3"/>
    <w:rsid w:val="00BE7C1B"/>
    <w:rsid w:val="00BF2E19"/>
    <w:rsid w:val="00BF30EE"/>
    <w:rsid w:val="00BF3759"/>
    <w:rsid w:val="00BF3F5B"/>
    <w:rsid w:val="00BF4933"/>
    <w:rsid w:val="00BF4D54"/>
    <w:rsid w:val="00BF54E3"/>
    <w:rsid w:val="00BF5F14"/>
    <w:rsid w:val="00BF6889"/>
    <w:rsid w:val="00BF69B9"/>
    <w:rsid w:val="00BF75D5"/>
    <w:rsid w:val="00C00D81"/>
    <w:rsid w:val="00C01406"/>
    <w:rsid w:val="00C041EF"/>
    <w:rsid w:val="00C04902"/>
    <w:rsid w:val="00C04B78"/>
    <w:rsid w:val="00C04CE9"/>
    <w:rsid w:val="00C05904"/>
    <w:rsid w:val="00C077E5"/>
    <w:rsid w:val="00C07838"/>
    <w:rsid w:val="00C07B37"/>
    <w:rsid w:val="00C07DF3"/>
    <w:rsid w:val="00C10D7C"/>
    <w:rsid w:val="00C1147C"/>
    <w:rsid w:val="00C13C7D"/>
    <w:rsid w:val="00C142FA"/>
    <w:rsid w:val="00C147D3"/>
    <w:rsid w:val="00C153B1"/>
    <w:rsid w:val="00C15CD6"/>
    <w:rsid w:val="00C16FDD"/>
    <w:rsid w:val="00C2018E"/>
    <w:rsid w:val="00C24B62"/>
    <w:rsid w:val="00C26ECC"/>
    <w:rsid w:val="00C30861"/>
    <w:rsid w:val="00C318C6"/>
    <w:rsid w:val="00C31BB4"/>
    <w:rsid w:val="00C31CFF"/>
    <w:rsid w:val="00C32C18"/>
    <w:rsid w:val="00C34214"/>
    <w:rsid w:val="00C34E8A"/>
    <w:rsid w:val="00C356E4"/>
    <w:rsid w:val="00C358A3"/>
    <w:rsid w:val="00C4014F"/>
    <w:rsid w:val="00C40EFD"/>
    <w:rsid w:val="00C411AE"/>
    <w:rsid w:val="00C43E9B"/>
    <w:rsid w:val="00C44843"/>
    <w:rsid w:val="00C44B16"/>
    <w:rsid w:val="00C44F25"/>
    <w:rsid w:val="00C456E2"/>
    <w:rsid w:val="00C47F9B"/>
    <w:rsid w:val="00C51F33"/>
    <w:rsid w:val="00C5243C"/>
    <w:rsid w:val="00C531D7"/>
    <w:rsid w:val="00C533E5"/>
    <w:rsid w:val="00C5345C"/>
    <w:rsid w:val="00C543A7"/>
    <w:rsid w:val="00C56E27"/>
    <w:rsid w:val="00C60458"/>
    <w:rsid w:val="00C62C56"/>
    <w:rsid w:val="00C63132"/>
    <w:rsid w:val="00C633A0"/>
    <w:rsid w:val="00C63736"/>
    <w:rsid w:val="00C656BE"/>
    <w:rsid w:val="00C65B91"/>
    <w:rsid w:val="00C70E27"/>
    <w:rsid w:val="00C70EA1"/>
    <w:rsid w:val="00C71329"/>
    <w:rsid w:val="00C72DAD"/>
    <w:rsid w:val="00C743F4"/>
    <w:rsid w:val="00C74C5E"/>
    <w:rsid w:val="00C756C2"/>
    <w:rsid w:val="00C75F54"/>
    <w:rsid w:val="00C777F9"/>
    <w:rsid w:val="00C817CB"/>
    <w:rsid w:val="00C81FD6"/>
    <w:rsid w:val="00C83BCB"/>
    <w:rsid w:val="00C84D72"/>
    <w:rsid w:val="00C857DA"/>
    <w:rsid w:val="00C871BC"/>
    <w:rsid w:val="00C875E8"/>
    <w:rsid w:val="00C916E4"/>
    <w:rsid w:val="00C928CC"/>
    <w:rsid w:val="00C937CF"/>
    <w:rsid w:val="00C93C8B"/>
    <w:rsid w:val="00C93DDA"/>
    <w:rsid w:val="00CA0CC8"/>
    <w:rsid w:val="00CA0DD8"/>
    <w:rsid w:val="00CA1338"/>
    <w:rsid w:val="00CA1B0A"/>
    <w:rsid w:val="00CA233B"/>
    <w:rsid w:val="00CA36C3"/>
    <w:rsid w:val="00CA371A"/>
    <w:rsid w:val="00CA5223"/>
    <w:rsid w:val="00CA725D"/>
    <w:rsid w:val="00CB20CA"/>
    <w:rsid w:val="00CB32F6"/>
    <w:rsid w:val="00CB3786"/>
    <w:rsid w:val="00CB43D5"/>
    <w:rsid w:val="00CB5175"/>
    <w:rsid w:val="00CB653B"/>
    <w:rsid w:val="00CB7F45"/>
    <w:rsid w:val="00CC0905"/>
    <w:rsid w:val="00CC0972"/>
    <w:rsid w:val="00CC1820"/>
    <w:rsid w:val="00CC28F2"/>
    <w:rsid w:val="00CC41C9"/>
    <w:rsid w:val="00CC4202"/>
    <w:rsid w:val="00CC497D"/>
    <w:rsid w:val="00CC6A0C"/>
    <w:rsid w:val="00CC7287"/>
    <w:rsid w:val="00CD1ECC"/>
    <w:rsid w:val="00CD2741"/>
    <w:rsid w:val="00CD4762"/>
    <w:rsid w:val="00CD50CD"/>
    <w:rsid w:val="00CD592B"/>
    <w:rsid w:val="00CD5EBA"/>
    <w:rsid w:val="00CD66FB"/>
    <w:rsid w:val="00CD7D6F"/>
    <w:rsid w:val="00CE10FD"/>
    <w:rsid w:val="00CE1A45"/>
    <w:rsid w:val="00CE1C9B"/>
    <w:rsid w:val="00CE2091"/>
    <w:rsid w:val="00CE2FCF"/>
    <w:rsid w:val="00CE3C46"/>
    <w:rsid w:val="00CE789B"/>
    <w:rsid w:val="00CF1720"/>
    <w:rsid w:val="00CF21AF"/>
    <w:rsid w:val="00CF5143"/>
    <w:rsid w:val="00CF66C4"/>
    <w:rsid w:val="00D011A2"/>
    <w:rsid w:val="00D018C3"/>
    <w:rsid w:val="00D04D30"/>
    <w:rsid w:val="00D101C8"/>
    <w:rsid w:val="00D151B5"/>
    <w:rsid w:val="00D154D8"/>
    <w:rsid w:val="00D156F3"/>
    <w:rsid w:val="00D15ACC"/>
    <w:rsid w:val="00D17AB1"/>
    <w:rsid w:val="00D23824"/>
    <w:rsid w:val="00D23D1A"/>
    <w:rsid w:val="00D24268"/>
    <w:rsid w:val="00D24D90"/>
    <w:rsid w:val="00D25707"/>
    <w:rsid w:val="00D26478"/>
    <w:rsid w:val="00D306CD"/>
    <w:rsid w:val="00D3130A"/>
    <w:rsid w:val="00D3135A"/>
    <w:rsid w:val="00D31D40"/>
    <w:rsid w:val="00D34A68"/>
    <w:rsid w:val="00D36DF2"/>
    <w:rsid w:val="00D411DA"/>
    <w:rsid w:val="00D42C94"/>
    <w:rsid w:val="00D43C55"/>
    <w:rsid w:val="00D4463A"/>
    <w:rsid w:val="00D451BE"/>
    <w:rsid w:val="00D45E99"/>
    <w:rsid w:val="00D50DCC"/>
    <w:rsid w:val="00D51DBE"/>
    <w:rsid w:val="00D525CD"/>
    <w:rsid w:val="00D5326E"/>
    <w:rsid w:val="00D54137"/>
    <w:rsid w:val="00D54161"/>
    <w:rsid w:val="00D5416E"/>
    <w:rsid w:val="00D5425C"/>
    <w:rsid w:val="00D55EE5"/>
    <w:rsid w:val="00D56703"/>
    <w:rsid w:val="00D56B33"/>
    <w:rsid w:val="00D604CF"/>
    <w:rsid w:val="00D61339"/>
    <w:rsid w:val="00D6249F"/>
    <w:rsid w:val="00D635D3"/>
    <w:rsid w:val="00D638D5"/>
    <w:rsid w:val="00D64BE8"/>
    <w:rsid w:val="00D65BEE"/>
    <w:rsid w:val="00D65C09"/>
    <w:rsid w:val="00D70466"/>
    <w:rsid w:val="00D72908"/>
    <w:rsid w:val="00D72F1F"/>
    <w:rsid w:val="00D75B04"/>
    <w:rsid w:val="00D76546"/>
    <w:rsid w:val="00D816F7"/>
    <w:rsid w:val="00D8180E"/>
    <w:rsid w:val="00D8199C"/>
    <w:rsid w:val="00D82A5E"/>
    <w:rsid w:val="00D83A84"/>
    <w:rsid w:val="00D8494F"/>
    <w:rsid w:val="00D86261"/>
    <w:rsid w:val="00D86824"/>
    <w:rsid w:val="00D869A7"/>
    <w:rsid w:val="00D9053D"/>
    <w:rsid w:val="00D927AE"/>
    <w:rsid w:val="00D931E2"/>
    <w:rsid w:val="00DA0115"/>
    <w:rsid w:val="00DA0844"/>
    <w:rsid w:val="00DA3471"/>
    <w:rsid w:val="00DA3D9E"/>
    <w:rsid w:val="00DA67C3"/>
    <w:rsid w:val="00DA7A8E"/>
    <w:rsid w:val="00DA7B5E"/>
    <w:rsid w:val="00DB13CD"/>
    <w:rsid w:val="00DB2530"/>
    <w:rsid w:val="00DB2C15"/>
    <w:rsid w:val="00DB3A06"/>
    <w:rsid w:val="00DB4400"/>
    <w:rsid w:val="00DB458B"/>
    <w:rsid w:val="00DB4828"/>
    <w:rsid w:val="00DB48F9"/>
    <w:rsid w:val="00DB5E64"/>
    <w:rsid w:val="00DB7490"/>
    <w:rsid w:val="00DC21A6"/>
    <w:rsid w:val="00DC28BF"/>
    <w:rsid w:val="00DC35A8"/>
    <w:rsid w:val="00DC3A70"/>
    <w:rsid w:val="00DC4150"/>
    <w:rsid w:val="00DC606E"/>
    <w:rsid w:val="00DC74B4"/>
    <w:rsid w:val="00DC771D"/>
    <w:rsid w:val="00DD0615"/>
    <w:rsid w:val="00DD0C0B"/>
    <w:rsid w:val="00DD19AD"/>
    <w:rsid w:val="00DD5C67"/>
    <w:rsid w:val="00DD6BC2"/>
    <w:rsid w:val="00DD6EF4"/>
    <w:rsid w:val="00DD7E25"/>
    <w:rsid w:val="00DE138D"/>
    <w:rsid w:val="00DE27F6"/>
    <w:rsid w:val="00DE2C45"/>
    <w:rsid w:val="00DE46D6"/>
    <w:rsid w:val="00DE473A"/>
    <w:rsid w:val="00DE5CBF"/>
    <w:rsid w:val="00DE6674"/>
    <w:rsid w:val="00DE73E9"/>
    <w:rsid w:val="00DF7FFA"/>
    <w:rsid w:val="00E00CD5"/>
    <w:rsid w:val="00E01B43"/>
    <w:rsid w:val="00E03E78"/>
    <w:rsid w:val="00E04329"/>
    <w:rsid w:val="00E0453B"/>
    <w:rsid w:val="00E10EB7"/>
    <w:rsid w:val="00E123FA"/>
    <w:rsid w:val="00E1283B"/>
    <w:rsid w:val="00E13093"/>
    <w:rsid w:val="00E13263"/>
    <w:rsid w:val="00E138DA"/>
    <w:rsid w:val="00E14112"/>
    <w:rsid w:val="00E14B85"/>
    <w:rsid w:val="00E163C2"/>
    <w:rsid w:val="00E17B1E"/>
    <w:rsid w:val="00E232D6"/>
    <w:rsid w:val="00E234C7"/>
    <w:rsid w:val="00E241F0"/>
    <w:rsid w:val="00E2533D"/>
    <w:rsid w:val="00E256F6"/>
    <w:rsid w:val="00E315CA"/>
    <w:rsid w:val="00E33B7D"/>
    <w:rsid w:val="00E36C3F"/>
    <w:rsid w:val="00E371C9"/>
    <w:rsid w:val="00E411FA"/>
    <w:rsid w:val="00E431FC"/>
    <w:rsid w:val="00E4431C"/>
    <w:rsid w:val="00E44DBD"/>
    <w:rsid w:val="00E45974"/>
    <w:rsid w:val="00E46BC3"/>
    <w:rsid w:val="00E50C2E"/>
    <w:rsid w:val="00E51203"/>
    <w:rsid w:val="00E51848"/>
    <w:rsid w:val="00E52F12"/>
    <w:rsid w:val="00E5327B"/>
    <w:rsid w:val="00E55774"/>
    <w:rsid w:val="00E566E4"/>
    <w:rsid w:val="00E6155A"/>
    <w:rsid w:val="00E62A82"/>
    <w:rsid w:val="00E62FD9"/>
    <w:rsid w:val="00E640A7"/>
    <w:rsid w:val="00E650B6"/>
    <w:rsid w:val="00E653EF"/>
    <w:rsid w:val="00E65692"/>
    <w:rsid w:val="00E65720"/>
    <w:rsid w:val="00E658C6"/>
    <w:rsid w:val="00E67F05"/>
    <w:rsid w:val="00E7038C"/>
    <w:rsid w:val="00E71057"/>
    <w:rsid w:val="00E7188B"/>
    <w:rsid w:val="00E71CE2"/>
    <w:rsid w:val="00E71FDA"/>
    <w:rsid w:val="00E75210"/>
    <w:rsid w:val="00E75646"/>
    <w:rsid w:val="00E77DB3"/>
    <w:rsid w:val="00E811FB"/>
    <w:rsid w:val="00E81EE0"/>
    <w:rsid w:val="00E822CC"/>
    <w:rsid w:val="00E84669"/>
    <w:rsid w:val="00E8561F"/>
    <w:rsid w:val="00E85CD2"/>
    <w:rsid w:val="00E86FC7"/>
    <w:rsid w:val="00E9016A"/>
    <w:rsid w:val="00E91D7C"/>
    <w:rsid w:val="00E92924"/>
    <w:rsid w:val="00E94B98"/>
    <w:rsid w:val="00EA05D4"/>
    <w:rsid w:val="00EA133C"/>
    <w:rsid w:val="00EA29E1"/>
    <w:rsid w:val="00EA3279"/>
    <w:rsid w:val="00EA492F"/>
    <w:rsid w:val="00EA5BA7"/>
    <w:rsid w:val="00EA5D84"/>
    <w:rsid w:val="00EA6A3A"/>
    <w:rsid w:val="00EA79C7"/>
    <w:rsid w:val="00EA7B1E"/>
    <w:rsid w:val="00EB10CD"/>
    <w:rsid w:val="00EB216B"/>
    <w:rsid w:val="00EB2216"/>
    <w:rsid w:val="00EB39A6"/>
    <w:rsid w:val="00EB5BE5"/>
    <w:rsid w:val="00EB68E6"/>
    <w:rsid w:val="00EB726B"/>
    <w:rsid w:val="00EC2476"/>
    <w:rsid w:val="00EC39CA"/>
    <w:rsid w:val="00EC5DE3"/>
    <w:rsid w:val="00EC5E8D"/>
    <w:rsid w:val="00EC62D7"/>
    <w:rsid w:val="00EC6671"/>
    <w:rsid w:val="00EC73AD"/>
    <w:rsid w:val="00ED0D84"/>
    <w:rsid w:val="00ED172E"/>
    <w:rsid w:val="00ED205F"/>
    <w:rsid w:val="00ED4A29"/>
    <w:rsid w:val="00ED5AC2"/>
    <w:rsid w:val="00ED6F36"/>
    <w:rsid w:val="00EE1861"/>
    <w:rsid w:val="00EE737B"/>
    <w:rsid w:val="00EF0D90"/>
    <w:rsid w:val="00EF301B"/>
    <w:rsid w:val="00EF32CB"/>
    <w:rsid w:val="00EF5C98"/>
    <w:rsid w:val="00F00102"/>
    <w:rsid w:val="00F00536"/>
    <w:rsid w:val="00F01482"/>
    <w:rsid w:val="00F02CEE"/>
    <w:rsid w:val="00F03801"/>
    <w:rsid w:val="00F04F25"/>
    <w:rsid w:val="00F05029"/>
    <w:rsid w:val="00F119F0"/>
    <w:rsid w:val="00F138CE"/>
    <w:rsid w:val="00F154B6"/>
    <w:rsid w:val="00F171C8"/>
    <w:rsid w:val="00F17545"/>
    <w:rsid w:val="00F17F75"/>
    <w:rsid w:val="00F20217"/>
    <w:rsid w:val="00F21569"/>
    <w:rsid w:val="00F21934"/>
    <w:rsid w:val="00F25005"/>
    <w:rsid w:val="00F2565B"/>
    <w:rsid w:val="00F26DF5"/>
    <w:rsid w:val="00F27D3B"/>
    <w:rsid w:val="00F30070"/>
    <w:rsid w:val="00F30D84"/>
    <w:rsid w:val="00F3285F"/>
    <w:rsid w:val="00F33368"/>
    <w:rsid w:val="00F33DED"/>
    <w:rsid w:val="00F34E85"/>
    <w:rsid w:val="00F35009"/>
    <w:rsid w:val="00F3595A"/>
    <w:rsid w:val="00F35B1F"/>
    <w:rsid w:val="00F35CA8"/>
    <w:rsid w:val="00F35DEF"/>
    <w:rsid w:val="00F43B58"/>
    <w:rsid w:val="00F44A7C"/>
    <w:rsid w:val="00F46FAF"/>
    <w:rsid w:val="00F471A7"/>
    <w:rsid w:val="00F503D7"/>
    <w:rsid w:val="00F51544"/>
    <w:rsid w:val="00F51826"/>
    <w:rsid w:val="00F5372D"/>
    <w:rsid w:val="00F579DC"/>
    <w:rsid w:val="00F57A44"/>
    <w:rsid w:val="00F60813"/>
    <w:rsid w:val="00F623B6"/>
    <w:rsid w:val="00F674A6"/>
    <w:rsid w:val="00F704BA"/>
    <w:rsid w:val="00F70AC1"/>
    <w:rsid w:val="00F71804"/>
    <w:rsid w:val="00F73368"/>
    <w:rsid w:val="00F74636"/>
    <w:rsid w:val="00F74A4E"/>
    <w:rsid w:val="00F75B24"/>
    <w:rsid w:val="00F75D7F"/>
    <w:rsid w:val="00F80196"/>
    <w:rsid w:val="00F801C2"/>
    <w:rsid w:val="00F80BA0"/>
    <w:rsid w:val="00F80C36"/>
    <w:rsid w:val="00F821AC"/>
    <w:rsid w:val="00F823A6"/>
    <w:rsid w:val="00F82D80"/>
    <w:rsid w:val="00F8383B"/>
    <w:rsid w:val="00F8438F"/>
    <w:rsid w:val="00F853A5"/>
    <w:rsid w:val="00F85F92"/>
    <w:rsid w:val="00F86DF2"/>
    <w:rsid w:val="00F90EB0"/>
    <w:rsid w:val="00F92DEF"/>
    <w:rsid w:val="00F945C2"/>
    <w:rsid w:val="00F972B2"/>
    <w:rsid w:val="00FA0025"/>
    <w:rsid w:val="00FA0586"/>
    <w:rsid w:val="00FA1865"/>
    <w:rsid w:val="00FA2316"/>
    <w:rsid w:val="00FA3D04"/>
    <w:rsid w:val="00FA65EA"/>
    <w:rsid w:val="00FB1E5F"/>
    <w:rsid w:val="00FB6948"/>
    <w:rsid w:val="00FB7961"/>
    <w:rsid w:val="00FC05EE"/>
    <w:rsid w:val="00FC23EC"/>
    <w:rsid w:val="00FC503B"/>
    <w:rsid w:val="00FC6115"/>
    <w:rsid w:val="00FC7F45"/>
    <w:rsid w:val="00FD4234"/>
    <w:rsid w:val="00FD602E"/>
    <w:rsid w:val="00FD6BDA"/>
    <w:rsid w:val="00FD6CD2"/>
    <w:rsid w:val="00FD7BEB"/>
    <w:rsid w:val="00FE03F9"/>
    <w:rsid w:val="00FE08D1"/>
    <w:rsid w:val="00FE3AD3"/>
    <w:rsid w:val="00FE469A"/>
    <w:rsid w:val="00FE5A22"/>
    <w:rsid w:val="00FE6AD3"/>
    <w:rsid w:val="00FE7CBC"/>
    <w:rsid w:val="00FF0CFF"/>
    <w:rsid w:val="00FF1AC8"/>
    <w:rsid w:val="00FF47FC"/>
    <w:rsid w:val="00FF4FA6"/>
    <w:rsid w:val="00FF54CC"/>
    <w:rsid w:val="00FF6EE2"/>
    <w:rsid w:val="00FF7CDA"/>
    <w:rsid w:val="069D454F"/>
    <w:rsid w:val="2EFF7ACF"/>
    <w:rsid w:val="335108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2293FA"/>
  <w15:docId w15:val="{70BB1B2C-B4B0-4AAA-B4D4-278425F41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42CC"/>
  </w:style>
  <w:style w:type="paragraph" w:styleId="Heading1">
    <w:name w:val="heading 1"/>
    <w:basedOn w:val="Normal"/>
    <w:next w:val="Normal"/>
    <w:link w:val="Heading1Char"/>
    <w:uiPriority w:val="9"/>
    <w:qFormat/>
    <w:rsid w:val="003F42CC"/>
    <w:pPr>
      <w:keepNext/>
      <w:keepLines/>
      <w:spacing w:before="320" w:after="80" w:line="240" w:lineRule="auto"/>
      <w:jc w:val="center"/>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3F42CC"/>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unhideWhenUsed/>
    <w:qFormat/>
    <w:rsid w:val="003F42CC"/>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unhideWhenUsed/>
    <w:qFormat/>
    <w:rsid w:val="003F42CC"/>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unhideWhenUsed/>
    <w:qFormat/>
    <w:rsid w:val="003F42CC"/>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3F42CC"/>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3F42CC"/>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3F42CC"/>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3F42CC"/>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Pr>
      <w:color w:val="0000FF" w:themeColor="hyperlink"/>
      <w:u w:val="single"/>
    </w:rPr>
  </w:style>
  <w:style w:type="paragraph" w:styleId="NormalWeb">
    <w:name w:val="Normal (Web)"/>
    <w:basedOn w:val="Normal"/>
    <w:link w:val="NormalWebChar"/>
    <w:uiPriority w:val="99"/>
    <w:unhideWhenUsed/>
    <w:qFormat/>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3F42CC"/>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rsid w:val="003F42CC"/>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3F42CC"/>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rsid w:val="003F42CC"/>
    <w:rPr>
      <w:rFonts w:asciiTheme="majorHAnsi" w:eastAsiaTheme="majorEastAsia" w:hAnsiTheme="majorHAnsi" w:cstheme="majorBidi"/>
      <w:sz w:val="32"/>
      <w:szCs w:val="32"/>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101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017A"/>
    <w:rPr>
      <w:rFonts w:ascii="Segoe UI" w:hAnsi="Segoe UI" w:cs="Segoe UI"/>
      <w:sz w:val="18"/>
      <w:szCs w:val="18"/>
    </w:rPr>
  </w:style>
  <w:style w:type="character" w:styleId="FollowedHyperlink">
    <w:name w:val="FollowedHyperlink"/>
    <w:basedOn w:val="DefaultParagraphFont"/>
    <w:uiPriority w:val="99"/>
    <w:semiHidden/>
    <w:unhideWhenUsed/>
    <w:rsid w:val="00EB2216"/>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79668F"/>
    <w:pPr>
      <w:spacing w:line="240" w:lineRule="auto"/>
    </w:pPr>
    <w:rPr>
      <w:b/>
      <w:bCs/>
      <w:sz w:val="20"/>
      <w:szCs w:val="20"/>
    </w:rPr>
  </w:style>
  <w:style w:type="character" w:customStyle="1" w:styleId="CommentTextChar">
    <w:name w:val="Comment Text Char"/>
    <w:basedOn w:val="DefaultParagraphFont"/>
    <w:link w:val="CommentText"/>
    <w:uiPriority w:val="99"/>
    <w:semiHidden/>
    <w:rsid w:val="0079668F"/>
    <w:rPr>
      <w:sz w:val="22"/>
      <w:szCs w:val="22"/>
    </w:rPr>
  </w:style>
  <w:style w:type="character" w:customStyle="1" w:styleId="CommentSubjectChar">
    <w:name w:val="Comment Subject Char"/>
    <w:basedOn w:val="CommentTextChar"/>
    <w:link w:val="CommentSubject"/>
    <w:uiPriority w:val="99"/>
    <w:semiHidden/>
    <w:rsid w:val="0079668F"/>
    <w:rPr>
      <w:b/>
      <w:bCs/>
      <w:sz w:val="22"/>
      <w:szCs w:val="22"/>
    </w:rPr>
  </w:style>
  <w:style w:type="character" w:customStyle="1" w:styleId="UnresolvedMention1">
    <w:name w:val="Unresolved Mention1"/>
    <w:basedOn w:val="DefaultParagraphFont"/>
    <w:uiPriority w:val="99"/>
    <w:semiHidden/>
    <w:unhideWhenUsed/>
    <w:rsid w:val="00716D41"/>
    <w:rPr>
      <w:color w:val="605E5C"/>
      <w:shd w:val="clear" w:color="auto" w:fill="E1DFDD"/>
    </w:rPr>
  </w:style>
  <w:style w:type="character" w:customStyle="1" w:styleId="katex-mathml">
    <w:name w:val="katex-mathml"/>
    <w:basedOn w:val="DefaultParagraphFont"/>
    <w:rsid w:val="00DA7B5E"/>
  </w:style>
  <w:style w:type="character" w:customStyle="1" w:styleId="Heading5Char">
    <w:name w:val="Heading 5 Char"/>
    <w:basedOn w:val="DefaultParagraphFont"/>
    <w:link w:val="Heading5"/>
    <w:uiPriority w:val="9"/>
    <w:rsid w:val="003F42CC"/>
    <w:rPr>
      <w:rFonts w:asciiTheme="majorHAnsi" w:eastAsiaTheme="majorEastAsia" w:hAnsiTheme="majorHAnsi" w:cstheme="majorBidi"/>
      <w:sz w:val="28"/>
      <w:szCs w:val="28"/>
    </w:rPr>
  </w:style>
  <w:style w:type="character" w:customStyle="1" w:styleId="UnresolvedMention2">
    <w:name w:val="Unresolved Mention2"/>
    <w:basedOn w:val="DefaultParagraphFont"/>
    <w:uiPriority w:val="99"/>
    <w:semiHidden/>
    <w:unhideWhenUsed/>
    <w:rsid w:val="00C74C5E"/>
    <w:rPr>
      <w:color w:val="605E5C"/>
      <w:shd w:val="clear" w:color="auto" w:fill="E1DFDD"/>
    </w:rPr>
  </w:style>
  <w:style w:type="character" w:customStyle="1" w:styleId="UnresolvedMention3">
    <w:name w:val="Unresolved Mention3"/>
    <w:basedOn w:val="DefaultParagraphFont"/>
    <w:uiPriority w:val="99"/>
    <w:semiHidden/>
    <w:unhideWhenUsed/>
    <w:rsid w:val="00324152"/>
    <w:rPr>
      <w:color w:val="605E5C"/>
      <w:shd w:val="clear" w:color="auto" w:fill="E1DFDD"/>
    </w:rPr>
  </w:style>
  <w:style w:type="character" w:customStyle="1" w:styleId="Heading4Char">
    <w:name w:val="Heading 4 Char"/>
    <w:basedOn w:val="DefaultParagraphFont"/>
    <w:link w:val="Heading4"/>
    <w:uiPriority w:val="9"/>
    <w:rsid w:val="003F42CC"/>
    <w:rPr>
      <w:rFonts w:asciiTheme="majorHAnsi" w:eastAsiaTheme="majorEastAsia" w:hAnsiTheme="majorHAnsi" w:cstheme="majorBidi"/>
      <w:i/>
      <w:iCs/>
      <w:sz w:val="30"/>
      <w:szCs w:val="30"/>
    </w:rPr>
  </w:style>
  <w:style w:type="character" w:customStyle="1" w:styleId="Heading6Char">
    <w:name w:val="Heading 6 Char"/>
    <w:basedOn w:val="DefaultParagraphFont"/>
    <w:link w:val="Heading6"/>
    <w:uiPriority w:val="9"/>
    <w:semiHidden/>
    <w:rsid w:val="003F42CC"/>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3F42CC"/>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3F42CC"/>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3F42CC"/>
    <w:rPr>
      <w:b/>
      <w:bCs/>
      <w:i/>
      <w:iCs/>
    </w:rPr>
  </w:style>
  <w:style w:type="paragraph" w:styleId="Caption">
    <w:name w:val="caption"/>
    <w:basedOn w:val="Normal"/>
    <w:next w:val="Normal"/>
    <w:uiPriority w:val="35"/>
    <w:semiHidden/>
    <w:unhideWhenUsed/>
    <w:qFormat/>
    <w:rsid w:val="003F42CC"/>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3F42CC"/>
    <w:pPr>
      <w:pBdr>
        <w:top w:val="single" w:sz="6" w:space="8" w:color="9BBB59" w:themeColor="accent3"/>
        <w:bottom w:val="single" w:sz="6" w:space="8" w:color="9BBB59" w:themeColor="accent3"/>
      </w:pBdr>
      <w:spacing w:after="400" w:line="240" w:lineRule="auto"/>
      <w:contextualSpacing/>
      <w:jc w:val="center"/>
    </w:pPr>
    <w:rPr>
      <w:rFonts w:asciiTheme="majorHAnsi" w:eastAsiaTheme="majorEastAsia" w:hAnsiTheme="majorHAnsi" w:cstheme="majorBidi"/>
      <w:caps/>
      <w:color w:val="1F497D" w:themeColor="text2"/>
      <w:spacing w:val="30"/>
      <w:sz w:val="72"/>
      <w:szCs w:val="72"/>
    </w:rPr>
  </w:style>
  <w:style w:type="character" w:customStyle="1" w:styleId="TitleChar">
    <w:name w:val="Title Char"/>
    <w:basedOn w:val="DefaultParagraphFont"/>
    <w:link w:val="Title"/>
    <w:uiPriority w:val="10"/>
    <w:rsid w:val="003F42CC"/>
    <w:rPr>
      <w:rFonts w:asciiTheme="majorHAnsi" w:eastAsiaTheme="majorEastAsia" w:hAnsiTheme="majorHAnsi" w:cstheme="majorBidi"/>
      <w:caps/>
      <w:color w:val="1F497D" w:themeColor="text2"/>
      <w:spacing w:val="30"/>
      <w:sz w:val="72"/>
      <w:szCs w:val="72"/>
    </w:rPr>
  </w:style>
  <w:style w:type="paragraph" w:styleId="Subtitle">
    <w:name w:val="Subtitle"/>
    <w:basedOn w:val="Normal"/>
    <w:next w:val="Normal"/>
    <w:link w:val="SubtitleChar"/>
    <w:uiPriority w:val="11"/>
    <w:qFormat/>
    <w:rsid w:val="003F42CC"/>
    <w:pPr>
      <w:numPr>
        <w:ilvl w:val="1"/>
      </w:numPr>
      <w:jc w:val="center"/>
    </w:pPr>
    <w:rPr>
      <w:color w:val="1F497D" w:themeColor="text2"/>
      <w:sz w:val="28"/>
      <w:szCs w:val="28"/>
    </w:rPr>
  </w:style>
  <w:style w:type="character" w:customStyle="1" w:styleId="SubtitleChar">
    <w:name w:val="Subtitle Char"/>
    <w:basedOn w:val="DefaultParagraphFont"/>
    <w:link w:val="Subtitle"/>
    <w:uiPriority w:val="11"/>
    <w:rsid w:val="003F42CC"/>
    <w:rPr>
      <w:color w:val="1F497D" w:themeColor="text2"/>
      <w:sz w:val="28"/>
      <w:szCs w:val="28"/>
    </w:rPr>
  </w:style>
  <w:style w:type="character" w:styleId="Emphasis">
    <w:name w:val="Emphasis"/>
    <w:basedOn w:val="DefaultParagraphFont"/>
    <w:uiPriority w:val="20"/>
    <w:qFormat/>
    <w:rsid w:val="003F42CC"/>
    <w:rPr>
      <w:i/>
      <w:iCs/>
      <w:color w:val="000000" w:themeColor="text1"/>
    </w:rPr>
  </w:style>
  <w:style w:type="paragraph" w:styleId="NoSpacing">
    <w:name w:val="No Spacing"/>
    <w:uiPriority w:val="1"/>
    <w:qFormat/>
    <w:rsid w:val="003F42CC"/>
    <w:pPr>
      <w:spacing w:after="0" w:line="240" w:lineRule="auto"/>
    </w:pPr>
  </w:style>
  <w:style w:type="paragraph" w:styleId="Quote">
    <w:name w:val="Quote"/>
    <w:basedOn w:val="Normal"/>
    <w:next w:val="Normal"/>
    <w:link w:val="QuoteChar"/>
    <w:uiPriority w:val="29"/>
    <w:qFormat/>
    <w:rsid w:val="003F42CC"/>
    <w:pPr>
      <w:spacing w:before="160"/>
      <w:ind w:left="720" w:right="720"/>
      <w:jc w:val="center"/>
    </w:pPr>
    <w:rPr>
      <w:i/>
      <w:iCs/>
      <w:color w:val="76923C" w:themeColor="accent3" w:themeShade="BF"/>
      <w:sz w:val="24"/>
      <w:szCs w:val="24"/>
    </w:rPr>
  </w:style>
  <w:style w:type="character" w:customStyle="1" w:styleId="QuoteChar">
    <w:name w:val="Quote Char"/>
    <w:basedOn w:val="DefaultParagraphFont"/>
    <w:link w:val="Quote"/>
    <w:uiPriority w:val="29"/>
    <w:rsid w:val="003F42CC"/>
    <w:rPr>
      <w:i/>
      <w:iCs/>
      <w:color w:val="76923C" w:themeColor="accent3" w:themeShade="BF"/>
      <w:sz w:val="24"/>
      <w:szCs w:val="24"/>
    </w:rPr>
  </w:style>
  <w:style w:type="paragraph" w:styleId="IntenseQuote">
    <w:name w:val="Intense Quote"/>
    <w:basedOn w:val="Normal"/>
    <w:next w:val="Normal"/>
    <w:link w:val="IntenseQuoteChar"/>
    <w:uiPriority w:val="30"/>
    <w:qFormat/>
    <w:rsid w:val="003F42CC"/>
    <w:pPr>
      <w:spacing w:before="160" w:line="276" w:lineRule="auto"/>
      <w:ind w:left="936" w:right="936"/>
      <w:jc w:val="center"/>
    </w:pPr>
    <w:rPr>
      <w:rFonts w:asciiTheme="majorHAnsi" w:eastAsiaTheme="majorEastAsia" w:hAnsiTheme="majorHAnsi" w:cstheme="majorBidi"/>
      <w:caps/>
      <w:color w:val="365F91" w:themeColor="accent1" w:themeShade="BF"/>
      <w:sz w:val="28"/>
      <w:szCs w:val="28"/>
    </w:rPr>
  </w:style>
  <w:style w:type="character" w:customStyle="1" w:styleId="IntenseQuoteChar">
    <w:name w:val="Intense Quote Char"/>
    <w:basedOn w:val="DefaultParagraphFont"/>
    <w:link w:val="IntenseQuote"/>
    <w:uiPriority w:val="30"/>
    <w:rsid w:val="003F42CC"/>
    <w:rPr>
      <w:rFonts w:asciiTheme="majorHAnsi" w:eastAsiaTheme="majorEastAsia" w:hAnsiTheme="majorHAnsi" w:cstheme="majorBidi"/>
      <w:caps/>
      <w:color w:val="365F91" w:themeColor="accent1" w:themeShade="BF"/>
      <w:sz w:val="28"/>
      <w:szCs w:val="28"/>
    </w:rPr>
  </w:style>
  <w:style w:type="character" w:styleId="SubtleEmphasis">
    <w:name w:val="Subtle Emphasis"/>
    <w:basedOn w:val="DefaultParagraphFont"/>
    <w:uiPriority w:val="19"/>
    <w:qFormat/>
    <w:rsid w:val="003F42CC"/>
    <w:rPr>
      <w:i/>
      <w:iCs/>
      <w:color w:val="595959" w:themeColor="text1" w:themeTint="A6"/>
    </w:rPr>
  </w:style>
  <w:style w:type="character" w:styleId="IntenseEmphasis">
    <w:name w:val="Intense Emphasis"/>
    <w:basedOn w:val="DefaultParagraphFont"/>
    <w:uiPriority w:val="21"/>
    <w:qFormat/>
    <w:rsid w:val="003F42CC"/>
    <w:rPr>
      <w:b/>
      <w:bCs/>
      <w:i/>
      <w:iCs/>
      <w:color w:val="auto"/>
    </w:rPr>
  </w:style>
  <w:style w:type="character" w:styleId="SubtleReference">
    <w:name w:val="Subtle Reference"/>
    <w:basedOn w:val="DefaultParagraphFont"/>
    <w:uiPriority w:val="31"/>
    <w:qFormat/>
    <w:rsid w:val="003F42CC"/>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3F42CC"/>
    <w:rPr>
      <w:b/>
      <w:bCs/>
      <w:caps w:val="0"/>
      <w:smallCaps/>
      <w:color w:val="auto"/>
      <w:spacing w:val="0"/>
      <w:u w:val="single"/>
    </w:rPr>
  </w:style>
  <w:style w:type="character" w:styleId="BookTitle">
    <w:name w:val="Book Title"/>
    <w:basedOn w:val="DefaultParagraphFont"/>
    <w:uiPriority w:val="33"/>
    <w:qFormat/>
    <w:rsid w:val="003F42CC"/>
    <w:rPr>
      <w:b/>
      <w:bCs/>
      <w:caps w:val="0"/>
      <w:smallCaps/>
      <w:spacing w:val="0"/>
    </w:rPr>
  </w:style>
  <w:style w:type="paragraph" w:styleId="TOCHeading">
    <w:name w:val="TOC Heading"/>
    <w:basedOn w:val="Heading1"/>
    <w:next w:val="Normal"/>
    <w:uiPriority w:val="39"/>
    <w:semiHidden/>
    <w:unhideWhenUsed/>
    <w:qFormat/>
    <w:rsid w:val="003F42CC"/>
    <w:pPr>
      <w:outlineLvl w:val="9"/>
    </w:pPr>
  </w:style>
  <w:style w:type="character" w:customStyle="1" w:styleId="UnresolvedMention4">
    <w:name w:val="Unresolved Mention4"/>
    <w:basedOn w:val="DefaultParagraphFont"/>
    <w:uiPriority w:val="99"/>
    <w:semiHidden/>
    <w:unhideWhenUsed/>
    <w:rsid w:val="00431D1D"/>
    <w:rPr>
      <w:color w:val="605E5C"/>
      <w:shd w:val="clear" w:color="auto" w:fill="E1DFDD"/>
    </w:rPr>
  </w:style>
  <w:style w:type="character" w:customStyle="1" w:styleId="NormalWebChar">
    <w:name w:val="Normal (Web) Char"/>
    <w:link w:val="NormalWeb"/>
    <w:uiPriority w:val="99"/>
    <w:qFormat/>
    <w:rsid w:val="0092417F"/>
    <w:rPr>
      <w:rFonts w:ascii="Times New Roman" w:hAnsi="Times New Roman" w:cs="Times New Roman"/>
      <w:sz w:val="24"/>
      <w:szCs w:val="24"/>
    </w:rPr>
  </w:style>
  <w:style w:type="table" w:customStyle="1" w:styleId="TableGrid17">
    <w:name w:val="Table Grid17"/>
    <w:basedOn w:val="TableNormal"/>
    <w:next w:val="TableGrid"/>
    <w:uiPriority w:val="39"/>
    <w:rsid w:val="0092417F"/>
    <w:pPr>
      <w:spacing w:after="0" w:line="240" w:lineRule="auto"/>
    </w:pPr>
    <w:rPr>
      <w:rFonts w:eastAsiaTheme="minorHAns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qFormat/>
    <w:rsid w:val="00B53752"/>
    <w:pPr>
      <w:spacing w:after="0"/>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534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76385">
      <w:bodyDiv w:val="1"/>
      <w:marLeft w:val="0"/>
      <w:marRight w:val="0"/>
      <w:marTop w:val="0"/>
      <w:marBottom w:val="0"/>
      <w:divBdr>
        <w:top w:val="none" w:sz="0" w:space="0" w:color="auto"/>
        <w:left w:val="none" w:sz="0" w:space="0" w:color="auto"/>
        <w:bottom w:val="none" w:sz="0" w:space="0" w:color="auto"/>
        <w:right w:val="none" w:sz="0" w:space="0" w:color="auto"/>
      </w:divBdr>
    </w:div>
    <w:div w:id="48381158">
      <w:bodyDiv w:val="1"/>
      <w:marLeft w:val="0"/>
      <w:marRight w:val="0"/>
      <w:marTop w:val="0"/>
      <w:marBottom w:val="0"/>
      <w:divBdr>
        <w:top w:val="none" w:sz="0" w:space="0" w:color="auto"/>
        <w:left w:val="none" w:sz="0" w:space="0" w:color="auto"/>
        <w:bottom w:val="none" w:sz="0" w:space="0" w:color="auto"/>
        <w:right w:val="none" w:sz="0" w:space="0" w:color="auto"/>
      </w:divBdr>
    </w:div>
    <w:div w:id="127555672">
      <w:bodyDiv w:val="1"/>
      <w:marLeft w:val="0"/>
      <w:marRight w:val="0"/>
      <w:marTop w:val="0"/>
      <w:marBottom w:val="0"/>
      <w:divBdr>
        <w:top w:val="none" w:sz="0" w:space="0" w:color="auto"/>
        <w:left w:val="none" w:sz="0" w:space="0" w:color="auto"/>
        <w:bottom w:val="none" w:sz="0" w:space="0" w:color="auto"/>
        <w:right w:val="none" w:sz="0" w:space="0" w:color="auto"/>
      </w:divBdr>
    </w:div>
    <w:div w:id="204412828">
      <w:bodyDiv w:val="1"/>
      <w:marLeft w:val="0"/>
      <w:marRight w:val="0"/>
      <w:marTop w:val="0"/>
      <w:marBottom w:val="0"/>
      <w:divBdr>
        <w:top w:val="none" w:sz="0" w:space="0" w:color="auto"/>
        <w:left w:val="none" w:sz="0" w:space="0" w:color="auto"/>
        <w:bottom w:val="none" w:sz="0" w:space="0" w:color="auto"/>
        <w:right w:val="none" w:sz="0" w:space="0" w:color="auto"/>
      </w:divBdr>
    </w:div>
    <w:div w:id="221211877">
      <w:bodyDiv w:val="1"/>
      <w:marLeft w:val="0"/>
      <w:marRight w:val="0"/>
      <w:marTop w:val="0"/>
      <w:marBottom w:val="0"/>
      <w:divBdr>
        <w:top w:val="none" w:sz="0" w:space="0" w:color="auto"/>
        <w:left w:val="none" w:sz="0" w:space="0" w:color="auto"/>
        <w:bottom w:val="none" w:sz="0" w:space="0" w:color="auto"/>
        <w:right w:val="none" w:sz="0" w:space="0" w:color="auto"/>
      </w:divBdr>
      <w:divsChild>
        <w:div w:id="431628417">
          <w:marLeft w:val="0"/>
          <w:marRight w:val="0"/>
          <w:marTop w:val="0"/>
          <w:marBottom w:val="0"/>
          <w:divBdr>
            <w:top w:val="none" w:sz="0" w:space="0" w:color="auto"/>
            <w:left w:val="none" w:sz="0" w:space="0" w:color="auto"/>
            <w:bottom w:val="none" w:sz="0" w:space="0" w:color="auto"/>
            <w:right w:val="none" w:sz="0" w:space="0" w:color="auto"/>
          </w:divBdr>
        </w:div>
      </w:divsChild>
    </w:div>
    <w:div w:id="288828295">
      <w:bodyDiv w:val="1"/>
      <w:marLeft w:val="0"/>
      <w:marRight w:val="0"/>
      <w:marTop w:val="0"/>
      <w:marBottom w:val="0"/>
      <w:divBdr>
        <w:top w:val="none" w:sz="0" w:space="0" w:color="auto"/>
        <w:left w:val="none" w:sz="0" w:space="0" w:color="auto"/>
        <w:bottom w:val="none" w:sz="0" w:space="0" w:color="auto"/>
        <w:right w:val="none" w:sz="0" w:space="0" w:color="auto"/>
      </w:divBdr>
    </w:div>
    <w:div w:id="393505988">
      <w:bodyDiv w:val="1"/>
      <w:marLeft w:val="0"/>
      <w:marRight w:val="0"/>
      <w:marTop w:val="0"/>
      <w:marBottom w:val="0"/>
      <w:divBdr>
        <w:top w:val="none" w:sz="0" w:space="0" w:color="auto"/>
        <w:left w:val="none" w:sz="0" w:space="0" w:color="auto"/>
        <w:bottom w:val="none" w:sz="0" w:space="0" w:color="auto"/>
        <w:right w:val="none" w:sz="0" w:space="0" w:color="auto"/>
      </w:divBdr>
    </w:div>
    <w:div w:id="449664876">
      <w:bodyDiv w:val="1"/>
      <w:marLeft w:val="0"/>
      <w:marRight w:val="0"/>
      <w:marTop w:val="0"/>
      <w:marBottom w:val="0"/>
      <w:divBdr>
        <w:top w:val="none" w:sz="0" w:space="0" w:color="auto"/>
        <w:left w:val="none" w:sz="0" w:space="0" w:color="auto"/>
        <w:bottom w:val="none" w:sz="0" w:space="0" w:color="auto"/>
        <w:right w:val="none" w:sz="0" w:space="0" w:color="auto"/>
      </w:divBdr>
    </w:div>
    <w:div w:id="634528764">
      <w:bodyDiv w:val="1"/>
      <w:marLeft w:val="0"/>
      <w:marRight w:val="0"/>
      <w:marTop w:val="0"/>
      <w:marBottom w:val="0"/>
      <w:divBdr>
        <w:top w:val="none" w:sz="0" w:space="0" w:color="auto"/>
        <w:left w:val="none" w:sz="0" w:space="0" w:color="auto"/>
        <w:bottom w:val="none" w:sz="0" w:space="0" w:color="auto"/>
        <w:right w:val="none" w:sz="0" w:space="0" w:color="auto"/>
      </w:divBdr>
    </w:div>
    <w:div w:id="720665330">
      <w:bodyDiv w:val="1"/>
      <w:marLeft w:val="0"/>
      <w:marRight w:val="0"/>
      <w:marTop w:val="0"/>
      <w:marBottom w:val="0"/>
      <w:divBdr>
        <w:top w:val="none" w:sz="0" w:space="0" w:color="auto"/>
        <w:left w:val="none" w:sz="0" w:space="0" w:color="auto"/>
        <w:bottom w:val="none" w:sz="0" w:space="0" w:color="auto"/>
        <w:right w:val="none" w:sz="0" w:space="0" w:color="auto"/>
      </w:divBdr>
    </w:div>
    <w:div w:id="790787825">
      <w:bodyDiv w:val="1"/>
      <w:marLeft w:val="0"/>
      <w:marRight w:val="0"/>
      <w:marTop w:val="0"/>
      <w:marBottom w:val="0"/>
      <w:divBdr>
        <w:top w:val="none" w:sz="0" w:space="0" w:color="auto"/>
        <w:left w:val="none" w:sz="0" w:space="0" w:color="auto"/>
        <w:bottom w:val="none" w:sz="0" w:space="0" w:color="auto"/>
        <w:right w:val="none" w:sz="0" w:space="0" w:color="auto"/>
      </w:divBdr>
    </w:div>
    <w:div w:id="792409465">
      <w:bodyDiv w:val="1"/>
      <w:marLeft w:val="0"/>
      <w:marRight w:val="0"/>
      <w:marTop w:val="0"/>
      <w:marBottom w:val="0"/>
      <w:divBdr>
        <w:top w:val="none" w:sz="0" w:space="0" w:color="auto"/>
        <w:left w:val="none" w:sz="0" w:space="0" w:color="auto"/>
        <w:bottom w:val="none" w:sz="0" w:space="0" w:color="auto"/>
        <w:right w:val="none" w:sz="0" w:space="0" w:color="auto"/>
      </w:divBdr>
    </w:div>
    <w:div w:id="1079443943">
      <w:bodyDiv w:val="1"/>
      <w:marLeft w:val="0"/>
      <w:marRight w:val="0"/>
      <w:marTop w:val="0"/>
      <w:marBottom w:val="0"/>
      <w:divBdr>
        <w:top w:val="none" w:sz="0" w:space="0" w:color="auto"/>
        <w:left w:val="none" w:sz="0" w:space="0" w:color="auto"/>
        <w:bottom w:val="none" w:sz="0" w:space="0" w:color="auto"/>
        <w:right w:val="none" w:sz="0" w:space="0" w:color="auto"/>
      </w:divBdr>
    </w:div>
    <w:div w:id="1083339689">
      <w:bodyDiv w:val="1"/>
      <w:marLeft w:val="0"/>
      <w:marRight w:val="0"/>
      <w:marTop w:val="0"/>
      <w:marBottom w:val="0"/>
      <w:divBdr>
        <w:top w:val="none" w:sz="0" w:space="0" w:color="auto"/>
        <w:left w:val="none" w:sz="0" w:space="0" w:color="auto"/>
        <w:bottom w:val="none" w:sz="0" w:space="0" w:color="auto"/>
        <w:right w:val="none" w:sz="0" w:space="0" w:color="auto"/>
      </w:divBdr>
      <w:divsChild>
        <w:div w:id="217516508">
          <w:marLeft w:val="0"/>
          <w:marRight w:val="0"/>
          <w:marTop w:val="0"/>
          <w:marBottom w:val="0"/>
          <w:divBdr>
            <w:top w:val="none" w:sz="0" w:space="0" w:color="auto"/>
            <w:left w:val="none" w:sz="0" w:space="0" w:color="auto"/>
            <w:bottom w:val="none" w:sz="0" w:space="0" w:color="auto"/>
            <w:right w:val="none" w:sz="0" w:space="0" w:color="auto"/>
          </w:divBdr>
          <w:divsChild>
            <w:div w:id="1248929291">
              <w:marLeft w:val="0"/>
              <w:marRight w:val="0"/>
              <w:marTop w:val="0"/>
              <w:marBottom w:val="0"/>
              <w:divBdr>
                <w:top w:val="none" w:sz="0" w:space="0" w:color="auto"/>
                <w:left w:val="none" w:sz="0" w:space="0" w:color="auto"/>
                <w:bottom w:val="none" w:sz="0" w:space="0" w:color="auto"/>
                <w:right w:val="none" w:sz="0" w:space="0" w:color="auto"/>
              </w:divBdr>
              <w:divsChild>
                <w:div w:id="132732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340307">
      <w:bodyDiv w:val="1"/>
      <w:marLeft w:val="0"/>
      <w:marRight w:val="0"/>
      <w:marTop w:val="0"/>
      <w:marBottom w:val="0"/>
      <w:divBdr>
        <w:top w:val="none" w:sz="0" w:space="0" w:color="auto"/>
        <w:left w:val="none" w:sz="0" w:space="0" w:color="auto"/>
        <w:bottom w:val="none" w:sz="0" w:space="0" w:color="auto"/>
        <w:right w:val="none" w:sz="0" w:space="0" w:color="auto"/>
      </w:divBdr>
    </w:div>
    <w:div w:id="1237057726">
      <w:bodyDiv w:val="1"/>
      <w:marLeft w:val="0"/>
      <w:marRight w:val="0"/>
      <w:marTop w:val="0"/>
      <w:marBottom w:val="0"/>
      <w:divBdr>
        <w:top w:val="none" w:sz="0" w:space="0" w:color="auto"/>
        <w:left w:val="none" w:sz="0" w:space="0" w:color="auto"/>
        <w:bottom w:val="none" w:sz="0" w:space="0" w:color="auto"/>
        <w:right w:val="none" w:sz="0" w:space="0" w:color="auto"/>
      </w:divBdr>
    </w:div>
    <w:div w:id="1361928634">
      <w:bodyDiv w:val="1"/>
      <w:marLeft w:val="0"/>
      <w:marRight w:val="0"/>
      <w:marTop w:val="0"/>
      <w:marBottom w:val="0"/>
      <w:divBdr>
        <w:top w:val="none" w:sz="0" w:space="0" w:color="auto"/>
        <w:left w:val="none" w:sz="0" w:space="0" w:color="auto"/>
        <w:bottom w:val="none" w:sz="0" w:space="0" w:color="auto"/>
        <w:right w:val="none" w:sz="0" w:space="0" w:color="auto"/>
      </w:divBdr>
    </w:div>
    <w:div w:id="1710296792">
      <w:bodyDiv w:val="1"/>
      <w:marLeft w:val="0"/>
      <w:marRight w:val="0"/>
      <w:marTop w:val="0"/>
      <w:marBottom w:val="0"/>
      <w:divBdr>
        <w:top w:val="none" w:sz="0" w:space="0" w:color="auto"/>
        <w:left w:val="none" w:sz="0" w:space="0" w:color="auto"/>
        <w:bottom w:val="none" w:sz="0" w:space="0" w:color="auto"/>
        <w:right w:val="none" w:sz="0" w:space="0" w:color="auto"/>
      </w:divBdr>
    </w:div>
    <w:div w:id="1749884576">
      <w:bodyDiv w:val="1"/>
      <w:marLeft w:val="0"/>
      <w:marRight w:val="0"/>
      <w:marTop w:val="0"/>
      <w:marBottom w:val="0"/>
      <w:divBdr>
        <w:top w:val="none" w:sz="0" w:space="0" w:color="auto"/>
        <w:left w:val="none" w:sz="0" w:space="0" w:color="auto"/>
        <w:bottom w:val="none" w:sz="0" w:space="0" w:color="auto"/>
        <w:right w:val="none" w:sz="0" w:space="0" w:color="auto"/>
      </w:divBdr>
    </w:div>
    <w:div w:id="21054886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cribbr.com/author/kassianin/" TargetMode="External"/><Relationship Id="rId18" Type="http://schemas.openxmlformats.org/officeDocument/2006/relationships/hyperlink" Target="https://doi.org/10.1080/0260293960210101" TargetMode="External"/><Relationship Id="rId26" Type="http://schemas.openxmlformats.org/officeDocument/2006/relationships/hyperlink" Target="https://doi.org/10.1080/13596748.2010.503997" TargetMode="External"/><Relationship Id="rId39" Type="http://schemas.openxmlformats.org/officeDocument/2006/relationships/hyperlink" Target="https://doi.org/10.1063/1.5003559" TargetMode="External"/><Relationship Id="rId21" Type="http://schemas.openxmlformats.org/officeDocument/2006/relationships/hyperlink" Target="http://ir.jooust.ac.ke:8080/xmlui/handle/123456789/13039" TargetMode="External"/><Relationship Id="rId34" Type="http://schemas.openxmlformats.org/officeDocument/2006/relationships/hyperlink" Target="https://doi.org/10.29333/iji.2022.15323a" TargetMode="External"/><Relationship Id="rId42" Type="http://schemas.openxmlformats.org/officeDocument/2006/relationships/hyperlink" Target="https://doi.org/10.3109/09540261.2015.1093465"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155/2013/136864" TargetMode="External"/><Relationship Id="rId29" Type="http://schemas.openxmlformats.org/officeDocument/2006/relationships/hyperlink" Target="https://doi.org/10.2307/35816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cshe.berkeley.edu/" TargetMode="External"/><Relationship Id="rId32" Type="http://schemas.openxmlformats.org/officeDocument/2006/relationships/hyperlink" Target="https://doi.org/10.1155/2016/8910471" TargetMode="External"/><Relationship Id="rId37" Type="http://schemas.openxmlformats.org/officeDocument/2006/relationships/hyperlink" Target="https://www.scribbr.com/methodology/criterion-validity/" TargetMode="External"/><Relationship Id="rId40" Type="http://schemas.openxmlformats.org/officeDocument/2006/relationships/hyperlink" Target="https://eric.ed.gov/?id=EJ776614" TargetMode="External"/><Relationship Id="rId45" Type="http://schemas.openxmlformats.org/officeDocument/2006/relationships/hyperlink" Target="http://176.9.41.242/doc/iq/high/smpy/1981" TargetMode="External"/><Relationship Id="rId5" Type="http://schemas.openxmlformats.org/officeDocument/2006/relationships/webSettings" Target="webSettings.xml"/><Relationship Id="rId15" Type="http://schemas.openxmlformats.org/officeDocument/2006/relationships/hyperlink" Target="file:///C:\Users\abuhay\Desktop\3%20jouernal\Competency%20Based%20Assessment%20Framework%20-%20BCSEA_sml_1660213406%20(1).pdf" TargetMode="External"/><Relationship Id="rId23" Type="http://schemas.openxmlformats.org/officeDocument/2006/relationships/hyperlink" Target="https://www.d41.org/cms/lib/IL01904672/Centricity/Domain/422/BloomsTaxonomy.pdf" TargetMode="External"/><Relationship Id="rId28" Type="http://schemas.openxmlformats.org/officeDocument/2006/relationships/hyperlink" Target="https://library.wur.nl/WebQuery/titel/1944963" TargetMode="External"/><Relationship Id="rId36" Type="http://schemas.openxmlformats.org/officeDocument/2006/relationships/hyperlink" Target="https://doi.org/10.2514/6.1994-2343" TargetMode="External"/><Relationship Id="rId10" Type="http://schemas.openxmlformats.org/officeDocument/2006/relationships/footer" Target="footer1.xml"/><Relationship Id="rId19" Type="http://schemas.openxmlformats.org/officeDocument/2006/relationships/hyperlink" Target="https://link.springer.com/article/10.1023/A:1010741324766" TargetMode="External"/><Relationship Id="rId31" Type="http://schemas.openxmlformats.org/officeDocument/2006/relationships/hyperlink" Target="https://journals.wu.edu.et" TargetMode="External"/><Relationship Id="rId44" Type="http://schemas.openxmlformats.org/officeDocument/2006/relationships/hyperlink" Target="http://hdl.voced.edu.au/10707/156899"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png"/><Relationship Id="rId22" Type="http://schemas.openxmlformats.org/officeDocument/2006/relationships/hyperlink" Target="https://doi.org/10.1080/2331186X.2021.1935408" TargetMode="External"/><Relationship Id="rId27" Type="http://schemas.openxmlformats.org/officeDocument/2006/relationships/hyperlink" Target="http://213.55.95.79/index.php/EJE/article/view/9471/7854" TargetMode="External"/><Relationship Id="rId30" Type="http://schemas.openxmlformats.org/officeDocument/2006/relationships/hyperlink" Target="https://doi.org/10.2991/iceri-18.2019.47" TargetMode="External"/><Relationship Id="rId35" Type="http://schemas.openxmlformats.org/officeDocument/2006/relationships/hyperlink" Target="https://files.eric.ed.gov/fulltext/EJ1139816.pdf" TargetMode="External"/><Relationship Id="rId43" Type="http://schemas.openxmlformats.org/officeDocument/2006/relationships/hyperlink" Target="https://www.jstor.org/stable/1167347" TargetMode="External"/><Relationship Id="rId8" Type="http://schemas.openxmlformats.org/officeDocument/2006/relationships/hyperlink" Target="mailto:amareabebe97@gmail.com" TargetMode="Externa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s://ijern.com/journal/2020/August%202020/08" TargetMode="External"/><Relationship Id="rId25" Type="http://schemas.openxmlformats.org/officeDocument/2006/relationships/hyperlink" Target="https://doi.org/10.1177/001316445701700202" TargetMode="External"/><Relationship Id="rId33" Type="http://schemas.openxmlformats.org/officeDocument/2006/relationships/hyperlink" Target="https://eric.ed.gov/?id=EJ1216886" TargetMode="External"/><Relationship Id="rId38" Type="http://schemas.openxmlformats.org/officeDocument/2006/relationships/hyperlink" Target="https://doi.org/10.1063/1.5003559" TargetMode="External"/><Relationship Id="rId46" Type="http://schemas.openxmlformats.org/officeDocument/2006/relationships/fontTable" Target="fontTable.xml"/><Relationship Id="rId20" Type="http://schemas.openxmlformats.org/officeDocument/2006/relationships/hyperlink" Target="http://umt.edu.pk" TargetMode="External"/><Relationship Id="rId41" Type="http://schemas.openxmlformats.org/officeDocument/2006/relationships/hyperlink" Target="https://scholar.google.com/scholar"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http://www.ajids.dmu.edu.et" TargetMode="External"/><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8AFA35-708D-49A8-91B8-460EAF0C2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15</Pages>
  <Words>6937</Words>
  <Characters>39547</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46392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Adane Kassa</cp:lastModifiedBy>
  <cp:revision>26</cp:revision>
  <dcterms:created xsi:type="dcterms:W3CDTF">2025-04-03T08:31:00Z</dcterms:created>
  <dcterms:modified xsi:type="dcterms:W3CDTF">2025-11-12T07:12:00Z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1033-11.2.0.11536</vt:lpwstr>
  </property>
  <property fmtid="{D5CDD505-2E9C-101B-9397-08002B2CF9AE}" pid="3" name="ICV">
    <vt:lpwstr>770B8F40BC87423A84A218BE4E6CC096_12</vt:lpwstr>
  </property>
  <property fmtid="{D5CDD505-2E9C-101B-9397-08002B2CF9AE}" pid="4" name="GrammarlyDocumentId">
    <vt:lpwstr>d3141b33cc84e447990b96384a2d7316eb8d40bef7f8789d45e1cf8f678b69e7</vt:lpwstr>
  </property>
</Properties>
</file>